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March 21, 2012</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b/>
          <w:sz w:val="24"/>
          <w:szCs w:val="24"/>
        </w:rPr>
      </w:pPr>
      <w:r w:rsidRPr="003857BC">
        <w:rPr>
          <w:rFonts w:ascii="Times New Roman" w:eastAsia="Times New Roman" w:hAnsi="Times New Roman" w:cs="Times New Roman"/>
          <w:b/>
          <w:sz w:val="24"/>
          <w:szCs w:val="24"/>
        </w:rPr>
        <w:t>RE:  CO2 Storage Resources</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Hello everyone,</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 </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Lynn and Paul asked me to comment on Paul’s porosity approach, which I like, except I don’t follow the twist at the end. So, here goes.</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proofErr w:type="gramStart"/>
      <w:r w:rsidRPr="003857BC">
        <w:rPr>
          <w:rFonts w:ascii="Times New Roman" w:eastAsia="Times New Roman" w:hAnsi="Times New Roman" w:cs="Times New Roman"/>
          <w:sz w:val="24"/>
          <w:szCs w:val="24"/>
        </w:rPr>
        <w:t>Just a little background on log porosity evaluation in dolomites, as I understand it.</w:t>
      </w:r>
      <w:proofErr w:type="gramEnd"/>
      <w:r w:rsidRPr="003857BC">
        <w:rPr>
          <w:rFonts w:ascii="Times New Roman" w:eastAsia="Times New Roman" w:hAnsi="Times New Roman" w:cs="Times New Roman"/>
          <w:sz w:val="24"/>
          <w:szCs w:val="24"/>
        </w:rPr>
        <w:t xml:space="preserve">  Prior to the mid-80’s, Schlumberger set 2.87 gm/cc as the grain density of dolomite, and then in 1988 they had a spasm and moved it to 2.88, before settling on the modern value of 2.85.  Some variability is to be expected as to iron content in dolomite as it grades towards </w:t>
      </w:r>
      <w:proofErr w:type="spellStart"/>
      <w:r w:rsidRPr="003857BC">
        <w:rPr>
          <w:rFonts w:ascii="Times New Roman" w:eastAsia="Times New Roman" w:hAnsi="Times New Roman" w:cs="Times New Roman"/>
          <w:sz w:val="24"/>
          <w:szCs w:val="24"/>
        </w:rPr>
        <w:t>ankerite</w:t>
      </w:r>
      <w:proofErr w:type="spellEnd"/>
      <w:r w:rsidRPr="003857BC">
        <w:rPr>
          <w:rFonts w:ascii="Times New Roman" w:eastAsia="Times New Roman" w:hAnsi="Times New Roman" w:cs="Times New Roman"/>
          <w:sz w:val="24"/>
          <w:szCs w:val="24"/>
        </w:rPr>
        <w:t xml:space="preserve">.  Basically “field dolomite” is not the museum-grade pure dolomite that we studied in GEOL101.  An old hand in Schlumberger told me that much of the early work on logging in dolomites was made in north Texas which was used to calibrate the neutron logs as well as set the grain density.  In my experience, Arbuckle core sample grain densities plateau at 2.85 where quartz content is minimal. I am guessing that Paul’s value of 2.83 is some kind of Arbuckle average, based on core grain densities and reflecting </w:t>
      </w:r>
      <w:proofErr w:type="gramStart"/>
      <w:r w:rsidRPr="003857BC">
        <w:rPr>
          <w:rFonts w:ascii="Times New Roman" w:eastAsia="Times New Roman" w:hAnsi="Times New Roman" w:cs="Times New Roman"/>
          <w:sz w:val="24"/>
          <w:szCs w:val="24"/>
        </w:rPr>
        <w:t>an average</w:t>
      </w:r>
      <w:proofErr w:type="gramEnd"/>
      <w:r w:rsidRPr="003857BC">
        <w:rPr>
          <w:rFonts w:ascii="Times New Roman" w:eastAsia="Times New Roman" w:hAnsi="Times New Roman" w:cs="Times New Roman"/>
          <w:sz w:val="24"/>
          <w:szCs w:val="24"/>
        </w:rPr>
        <w:t xml:space="preserve"> quartz content in the dolomite.  A nice concept because it locks logs and core together and uses a parameter which has a distinct and “constant” physical meaning that is common to logging tools across companies and through time.   Now, it may be that there is a geographic drift in the average grain density caused by lateral changes in chert and calcite content. This could be checked, if necessary, in a “second order model” as a correction but it may be that the effects are insufficient to improve the result and that we are already at “fit for purpose”. </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 xml:space="preserve">Now, the average of the neutron and density porosities, both calibrated to limestone, is generally a useable approximation to volumetric porosity. A more precise (more accurate??) value would be given by a crossplot of which there are MANY – across companies and across time as different styles of neutron tools came and went. And it doesn’t seem to be getting much better. Look at a Schlumberger LAS file and you get not one, but three neutron porosities, NPHI, NPOR, </w:t>
      </w:r>
      <w:proofErr w:type="gramStart"/>
      <w:r w:rsidRPr="003857BC">
        <w:rPr>
          <w:rFonts w:ascii="Times New Roman" w:eastAsia="Times New Roman" w:hAnsi="Times New Roman" w:cs="Times New Roman"/>
          <w:sz w:val="24"/>
          <w:szCs w:val="24"/>
        </w:rPr>
        <w:t>TNPH</w:t>
      </w:r>
      <w:proofErr w:type="gramEnd"/>
      <w:r w:rsidRPr="003857BC">
        <w:rPr>
          <w:rFonts w:ascii="Times New Roman" w:eastAsia="Times New Roman" w:hAnsi="Times New Roman" w:cs="Times New Roman"/>
          <w:sz w:val="24"/>
          <w:szCs w:val="24"/>
        </w:rPr>
        <w:t xml:space="preserve">.  I am told that TNPH is the best, but if I have a regional database with lots of CNLs to stick with NPHI.  It seems to be a wilderness of mirrors if we fixate on accurate porosities from the neutron logs. </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 xml:space="preserve">Okay, back to the Arbuckle. We have an estimate of average volumetric porosity by using a grain density of 2.83.  This is different from the limestone-equivalent porosity that would be the conventional density porosity, based on 2.71. So, why are we taking the extra step of averaging this volumetric estimate with the limestone-equivalent neutron porosity?  </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 </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 xml:space="preserve">I would be interested to know the derivation of 2.83 as an Arbuckle grain-density. Whatever number is chosen is locked into average quartz content given by interpolation between 2.65 and </w:t>
      </w:r>
      <w:r w:rsidRPr="003857BC">
        <w:rPr>
          <w:rFonts w:ascii="Times New Roman" w:eastAsia="Times New Roman" w:hAnsi="Times New Roman" w:cs="Times New Roman"/>
          <w:sz w:val="24"/>
          <w:szCs w:val="24"/>
        </w:rPr>
        <w:lastRenderedPageBreak/>
        <w:t xml:space="preserve">2.85, if you neglect any limestone.  So </w:t>
      </w:r>
      <w:proofErr w:type="gramStart"/>
      <w:r w:rsidRPr="003857BC">
        <w:rPr>
          <w:rFonts w:ascii="Times New Roman" w:eastAsia="Times New Roman" w:hAnsi="Times New Roman" w:cs="Times New Roman"/>
          <w:sz w:val="24"/>
          <w:szCs w:val="24"/>
        </w:rPr>
        <w:t>…  10</w:t>
      </w:r>
      <w:proofErr w:type="gramEnd"/>
      <w:r w:rsidRPr="003857BC">
        <w:rPr>
          <w:rFonts w:ascii="Times New Roman" w:eastAsia="Times New Roman" w:hAnsi="Times New Roman" w:cs="Times New Roman"/>
          <w:sz w:val="24"/>
          <w:szCs w:val="24"/>
        </w:rPr>
        <w:t>% quartz? A quick analysis of core grain densities in Wellington 1-32 for an average would be a good check on this number.  A good feature of the density-calibration approach is that there will not be dramatic changes in the look of porosity maps and that any additional tweaking can be made by grain density adjustment if necessary.</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Anyway, I know that many of these points are well-known to you all.  I just wanted to lay it all out to see if I am missing something.</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 </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Cheers,</w:t>
      </w:r>
    </w:p>
    <w:p w:rsidR="003857BC" w:rsidRP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 </w:t>
      </w:r>
    </w:p>
    <w:p w:rsidR="003857BC" w:rsidRDefault="003857BC" w:rsidP="003857BC">
      <w:pPr>
        <w:spacing w:before="100" w:beforeAutospacing="1" w:after="100" w:afterAutospacing="1" w:line="240" w:lineRule="auto"/>
        <w:rPr>
          <w:rFonts w:ascii="Times New Roman" w:eastAsia="Times New Roman" w:hAnsi="Times New Roman" w:cs="Times New Roman"/>
          <w:sz w:val="24"/>
          <w:szCs w:val="24"/>
        </w:rPr>
      </w:pPr>
      <w:r w:rsidRPr="003857BC">
        <w:rPr>
          <w:rFonts w:ascii="Times New Roman" w:eastAsia="Times New Roman" w:hAnsi="Times New Roman" w:cs="Times New Roman"/>
          <w:sz w:val="24"/>
          <w:szCs w:val="24"/>
        </w:rPr>
        <w:t xml:space="preserve">John      </w:t>
      </w:r>
    </w:p>
    <w:p w:rsidR="003857BC" w:rsidRDefault="003857BC">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3857BC" w:rsidRDefault="003857BC" w:rsidP="003857BC">
      <w:pPr>
        <w:pStyle w:val="Pa81"/>
        <w:spacing w:before="80"/>
        <w:rPr>
          <w:rFonts w:cs="Myriad Pro Light"/>
          <w:b/>
          <w:bCs/>
          <w:color w:val="211D1E"/>
          <w:sz w:val="30"/>
          <w:szCs w:val="30"/>
        </w:rPr>
      </w:pPr>
      <w:r>
        <w:rPr>
          <w:rFonts w:cs="Myriad Pro Light"/>
          <w:b/>
          <w:bCs/>
          <w:color w:val="211D1E"/>
          <w:sz w:val="30"/>
          <w:szCs w:val="30"/>
        </w:rPr>
        <w:lastRenderedPageBreak/>
        <w:t>Page 142, Atlas III</w:t>
      </w:r>
    </w:p>
    <w:p w:rsidR="003857BC" w:rsidRDefault="003857BC" w:rsidP="003857BC">
      <w:pPr>
        <w:pStyle w:val="Pa81"/>
        <w:spacing w:before="80"/>
        <w:rPr>
          <w:rFonts w:cs="Myriad Pro Light"/>
          <w:b/>
          <w:bCs/>
          <w:color w:val="211D1E"/>
          <w:sz w:val="30"/>
          <w:szCs w:val="30"/>
        </w:rPr>
      </w:pPr>
    </w:p>
    <w:p w:rsidR="003857BC" w:rsidRDefault="003857BC" w:rsidP="003857BC">
      <w:pPr>
        <w:pStyle w:val="Pa81"/>
        <w:spacing w:before="80"/>
        <w:rPr>
          <w:rFonts w:cs="Myriad Pro Light"/>
          <w:color w:val="211D1E"/>
          <w:sz w:val="30"/>
          <w:szCs w:val="30"/>
        </w:rPr>
      </w:pPr>
      <w:r>
        <w:rPr>
          <w:rFonts w:cs="Myriad Pro Light"/>
          <w:b/>
          <w:bCs/>
          <w:color w:val="211D1E"/>
          <w:sz w:val="30"/>
          <w:szCs w:val="30"/>
        </w:rPr>
        <w:t>4.2. Saline Formation CO</w:t>
      </w:r>
      <w:r>
        <w:rPr>
          <w:rStyle w:val="A44"/>
        </w:rPr>
        <w:t xml:space="preserve">2 </w:t>
      </w:r>
      <w:r>
        <w:rPr>
          <w:rFonts w:cs="Myriad Pro Light"/>
          <w:b/>
          <w:bCs/>
          <w:color w:val="211D1E"/>
          <w:sz w:val="30"/>
          <w:szCs w:val="30"/>
        </w:rPr>
        <w:t xml:space="preserve">Storage Resource Estimates </w:t>
      </w:r>
    </w:p>
    <w:p w:rsidR="003857BC" w:rsidRDefault="003857BC" w:rsidP="003857BC">
      <w:pPr>
        <w:pStyle w:val="Pa9"/>
        <w:spacing w:after="260"/>
        <w:rPr>
          <w:rFonts w:ascii="Myriad Pro" w:hAnsi="Myriad Pro" w:cs="Myriad Pro"/>
          <w:color w:val="211D1E"/>
          <w:sz w:val="22"/>
          <w:szCs w:val="22"/>
        </w:rPr>
      </w:pPr>
      <w:r>
        <w:rPr>
          <w:rFonts w:ascii="Myriad Pro" w:hAnsi="Myriad Pro" w:cs="Myriad Pro"/>
          <w:color w:val="211D1E"/>
          <w:sz w:val="22"/>
          <w:szCs w:val="22"/>
        </w:rPr>
        <w:t>Saline formations are composed of water-saturated porous rock and capped by one or more regionally extensive low-permeability rock formations. A saline formation assessed for CO</w:t>
      </w:r>
      <w:r>
        <w:rPr>
          <w:rStyle w:val="A2"/>
        </w:rPr>
        <w:t xml:space="preserve">2 </w:t>
      </w:r>
      <w:r>
        <w:rPr>
          <w:rFonts w:ascii="Myriad Pro" w:hAnsi="Myriad Pro" w:cs="Myriad Pro"/>
          <w:color w:val="211D1E"/>
          <w:sz w:val="22"/>
          <w:szCs w:val="22"/>
        </w:rPr>
        <w:t>storage is defined as a porous and permeable body of rock containing water with TDS greater than 10,000 ppm. A saline formation can include more than one named geologic stratigraphic unit or be defined as only a part of a stratigraphic unit. Mechanisms for CO</w:t>
      </w:r>
      <w:r>
        <w:rPr>
          <w:rStyle w:val="A2"/>
        </w:rPr>
        <w:t xml:space="preserve">2 </w:t>
      </w:r>
      <w:r>
        <w:rPr>
          <w:rFonts w:ascii="Myriad Pro" w:hAnsi="Myriad Pro" w:cs="Myriad Pro"/>
          <w:color w:val="211D1E"/>
          <w:sz w:val="22"/>
          <w:szCs w:val="22"/>
        </w:rPr>
        <w:t xml:space="preserve">storage in saline formations include structural trapping, hydrodynamic trapping, residual trapping, dissolution, and mineralization (Bachu et al., 2007; </w:t>
      </w:r>
      <w:r>
        <w:rPr>
          <w:rFonts w:cs="Myriad Pro Light"/>
          <w:color w:val="000000"/>
          <w:sz w:val="22"/>
          <w:szCs w:val="22"/>
        </w:rPr>
        <w:t>K</w:t>
      </w:r>
      <w:r>
        <w:rPr>
          <w:rFonts w:ascii="Myriad Pro" w:hAnsi="Myriad Pro" w:cs="Myriad Pro"/>
          <w:color w:val="211D1E"/>
          <w:sz w:val="22"/>
          <w:szCs w:val="22"/>
        </w:rPr>
        <w:t xml:space="preserve">opp et al., 2009b; </w:t>
      </w:r>
      <w:proofErr w:type="spellStart"/>
      <w:r>
        <w:rPr>
          <w:rFonts w:ascii="Myriad Pro" w:hAnsi="Myriad Pro" w:cs="Myriad Pro"/>
          <w:color w:val="211D1E"/>
          <w:sz w:val="22"/>
          <w:szCs w:val="22"/>
        </w:rPr>
        <w:t>Xie</w:t>
      </w:r>
      <w:proofErr w:type="spellEnd"/>
      <w:r>
        <w:rPr>
          <w:rFonts w:ascii="Myriad Pro" w:hAnsi="Myriad Pro" w:cs="Myriad Pro"/>
          <w:color w:val="211D1E"/>
          <w:sz w:val="22"/>
          <w:szCs w:val="22"/>
        </w:rPr>
        <w:t xml:space="preserve"> and Economides, 2009). Structural, hydrodynamic, and residual trapping are initially the dominant trapping mechanisms and are the focus of this methodology. </w:t>
      </w:r>
    </w:p>
    <w:p w:rsidR="003857BC" w:rsidRDefault="003857BC" w:rsidP="003857BC">
      <w:pPr>
        <w:pStyle w:val="Pa9"/>
        <w:spacing w:after="260"/>
        <w:rPr>
          <w:rFonts w:ascii="Myriad Pro" w:hAnsi="Myriad Pro" w:cs="Myriad Pro"/>
          <w:color w:val="211D1E"/>
          <w:sz w:val="22"/>
          <w:szCs w:val="22"/>
        </w:rPr>
      </w:pPr>
      <w:r>
        <w:rPr>
          <w:rFonts w:ascii="Myriad Pro" w:hAnsi="Myriad Pro" w:cs="Myriad Pro"/>
          <w:color w:val="211D1E"/>
          <w:sz w:val="22"/>
          <w:szCs w:val="22"/>
        </w:rPr>
        <w:t>Saline formations assessed for storage are restricted to those meeting basic criteria including:(1) adequate pressure and temperature conditions in the saline formation to keep the CO</w:t>
      </w:r>
      <w:r>
        <w:rPr>
          <w:rStyle w:val="A2"/>
        </w:rPr>
        <w:t xml:space="preserve">2 </w:t>
      </w:r>
      <w:r>
        <w:rPr>
          <w:rFonts w:ascii="Myriad Pro" w:hAnsi="Myriad Pro" w:cs="Myriad Pro"/>
          <w:color w:val="211D1E"/>
          <w:sz w:val="22"/>
          <w:szCs w:val="22"/>
        </w:rPr>
        <w:t>liquid or supercritical; (2) presence of a suitable seal system, such as a caprock, to limit vertical flow of the CO</w:t>
      </w:r>
      <w:r>
        <w:rPr>
          <w:rStyle w:val="A2"/>
        </w:rPr>
        <w:t xml:space="preserve">2 </w:t>
      </w:r>
      <w:r>
        <w:rPr>
          <w:rFonts w:ascii="Myriad Pro" w:hAnsi="Myriad Pro" w:cs="Myriad Pro"/>
          <w:color w:val="211D1E"/>
          <w:sz w:val="22"/>
          <w:szCs w:val="22"/>
        </w:rPr>
        <w:t xml:space="preserve">to the surface; and (3) a combination of </w:t>
      </w:r>
      <w:proofErr w:type="spellStart"/>
      <w:r>
        <w:rPr>
          <w:rFonts w:ascii="Myriad Pro" w:hAnsi="Myriad Pro" w:cs="Myriad Pro"/>
          <w:color w:val="211D1E"/>
          <w:sz w:val="22"/>
          <w:szCs w:val="22"/>
        </w:rPr>
        <w:t>hydrogeologic</w:t>
      </w:r>
      <w:proofErr w:type="spellEnd"/>
      <w:r>
        <w:rPr>
          <w:rFonts w:ascii="Myriad Pro" w:hAnsi="Myriad Pro" w:cs="Myriad Pro"/>
          <w:color w:val="211D1E"/>
          <w:sz w:val="22"/>
          <w:szCs w:val="22"/>
        </w:rPr>
        <w:t xml:space="preserve"> conditions to isolate the CO</w:t>
      </w:r>
      <w:r>
        <w:rPr>
          <w:rStyle w:val="A2"/>
        </w:rPr>
        <w:t xml:space="preserve">2 </w:t>
      </w:r>
      <w:r>
        <w:rPr>
          <w:rFonts w:ascii="Myriad Pro" w:hAnsi="Myriad Pro" w:cs="Myriad Pro"/>
          <w:color w:val="211D1E"/>
          <w:sz w:val="22"/>
          <w:szCs w:val="22"/>
        </w:rPr>
        <w:t xml:space="preserve">within the saline formation. </w:t>
      </w:r>
    </w:p>
    <w:p w:rsidR="003857BC" w:rsidRDefault="003857BC" w:rsidP="003857BC">
      <w:pPr>
        <w:pStyle w:val="Pa9"/>
        <w:spacing w:after="260"/>
        <w:rPr>
          <w:rFonts w:ascii="Myriad Pro" w:hAnsi="Myriad Pro" w:cs="Myriad Pro"/>
          <w:color w:val="211D1E"/>
          <w:sz w:val="22"/>
          <w:szCs w:val="22"/>
        </w:rPr>
      </w:pPr>
      <w:r>
        <w:rPr>
          <w:rFonts w:ascii="Myriad Pro" w:hAnsi="Myriad Pro" w:cs="Myriad Pro"/>
          <w:color w:val="211D1E"/>
          <w:sz w:val="22"/>
          <w:szCs w:val="22"/>
        </w:rPr>
        <w:t>The storage of CO</w:t>
      </w:r>
      <w:r>
        <w:rPr>
          <w:rStyle w:val="A2"/>
        </w:rPr>
        <w:t xml:space="preserve">2 </w:t>
      </w:r>
      <w:r>
        <w:rPr>
          <w:rFonts w:ascii="Myriad Pro" w:hAnsi="Myriad Pro" w:cs="Myriad Pro"/>
          <w:color w:val="211D1E"/>
          <w:sz w:val="22"/>
          <w:szCs w:val="22"/>
        </w:rPr>
        <w:t>in saline formations is limited to sedimentary basins with vertical flow barriers and depths exceeding 800 meters. Sedimentary basins include porous and permeable sandstone and carbonate rocks. The 800-meter cutoff is an arbitrary attempt to select a depth that reflects pressure and temperature that yields high-density liquid or supercritical CO</w:t>
      </w:r>
      <w:r>
        <w:rPr>
          <w:rStyle w:val="A2"/>
        </w:rPr>
        <w:t>2</w:t>
      </w:r>
      <w:r>
        <w:rPr>
          <w:rFonts w:ascii="Myriad Pro" w:hAnsi="Myriad Pro" w:cs="Myriad Pro"/>
          <w:color w:val="211D1E"/>
          <w:sz w:val="22"/>
          <w:szCs w:val="22"/>
        </w:rPr>
        <w:t>. All sedimentary rocks included in the saline formation CO</w:t>
      </w:r>
      <w:r>
        <w:rPr>
          <w:rStyle w:val="A2"/>
        </w:rPr>
        <w:t xml:space="preserve">2 </w:t>
      </w:r>
      <w:r>
        <w:rPr>
          <w:rFonts w:ascii="Myriad Pro" w:hAnsi="Myriad Pro" w:cs="Myriad Pro"/>
          <w:color w:val="211D1E"/>
          <w:sz w:val="22"/>
          <w:szCs w:val="22"/>
        </w:rPr>
        <w:t xml:space="preserve">storage resource estimate must have seal systems consisting of low-permeability sealing rocks, such as shales, anhydrites, and other evaporates; however, the thickness of these sealing systems is not considered in this methodology. For increasing confidence in a storage resource estimates, other criteria including seal effectiveness (e.g., salinity and pressure above and below the seal system), minimum permeability, minimum threshold capillary pressure, and fracture propagation pressure of a seal system should be considered. </w:t>
      </w:r>
    </w:p>
    <w:p w:rsidR="003857BC" w:rsidRDefault="003857BC" w:rsidP="003857BC">
      <w:pPr>
        <w:pStyle w:val="Pa9"/>
        <w:spacing w:after="260"/>
        <w:rPr>
          <w:rFonts w:ascii="Myriad Pro" w:hAnsi="Myriad Pro" w:cs="Myriad Pro"/>
          <w:color w:val="211D1E"/>
          <w:sz w:val="22"/>
          <w:szCs w:val="22"/>
        </w:rPr>
      </w:pPr>
      <w:r>
        <w:rPr>
          <w:rFonts w:ascii="Myriad Pro" w:hAnsi="Myriad Pro" w:cs="Myriad Pro"/>
          <w:color w:val="211D1E"/>
          <w:sz w:val="22"/>
          <w:szCs w:val="22"/>
        </w:rPr>
        <w:t>The volumetric equation to calculate the CO</w:t>
      </w:r>
      <w:r>
        <w:rPr>
          <w:rStyle w:val="A2"/>
        </w:rPr>
        <w:t xml:space="preserve">2 </w:t>
      </w:r>
      <w:r>
        <w:rPr>
          <w:rFonts w:ascii="Myriad Pro" w:hAnsi="Myriad Pro" w:cs="Myriad Pro"/>
          <w:color w:val="211D1E"/>
          <w:sz w:val="22"/>
          <w:szCs w:val="22"/>
        </w:rPr>
        <w:t>storage resource mass estimate (G</w:t>
      </w:r>
      <w:r>
        <w:rPr>
          <w:rStyle w:val="A2"/>
        </w:rPr>
        <w:t>CO2</w:t>
      </w:r>
      <w:r>
        <w:rPr>
          <w:rFonts w:ascii="Myriad Pro" w:hAnsi="Myriad Pro" w:cs="Myriad Pro"/>
          <w:color w:val="211D1E"/>
          <w:sz w:val="22"/>
          <w:szCs w:val="22"/>
        </w:rPr>
        <w:t xml:space="preserve">) for geologic storage in saline formations is: </w:t>
      </w:r>
    </w:p>
    <w:p w:rsidR="003857BC" w:rsidRPr="003857BC" w:rsidRDefault="003857BC" w:rsidP="003857BC">
      <w:pPr>
        <w:pStyle w:val="Pa9"/>
        <w:spacing w:after="260"/>
        <w:rPr>
          <w:rFonts w:ascii="Myriad Pro" w:hAnsi="Myriad Pro" w:cs="Myriad Pro"/>
          <w:color w:val="211D1E"/>
          <w:sz w:val="36"/>
          <w:szCs w:val="36"/>
        </w:rPr>
      </w:pPr>
      <w:r w:rsidRPr="003857BC">
        <w:rPr>
          <w:rFonts w:ascii="Myriad Pro" w:hAnsi="Myriad Pro" w:cs="Myriad Pro"/>
          <w:color w:val="211D1E"/>
          <w:sz w:val="36"/>
          <w:szCs w:val="36"/>
        </w:rPr>
        <w:t>G</w:t>
      </w:r>
      <w:r w:rsidRPr="003857BC">
        <w:rPr>
          <w:rStyle w:val="A2"/>
          <w:sz w:val="36"/>
          <w:szCs w:val="36"/>
          <w:vertAlign w:val="subscript"/>
        </w:rPr>
        <w:t xml:space="preserve">CO2 </w:t>
      </w:r>
      <w:r w:rsidRPr="003857BC">
        <w:rPr>
          <w:rFonts w:ascii="Myriad Pro" w:hAnsi="Myriad Pro" w:cs="Myriad Pro"/>
          <w:color w:val="211D1E"/>
          <w:sz w:val="36"/>
          <w:szCs w:val="36"/>
        </w:rPr>
        <w:t xml:space="preserve">= </w:t>
      </w:r>
      <w:proofErr w:type="gramStart"/>
      <w:r w:rsidRPr="003857BC">
        <w:rPr>
          <w:rFonts w:ascii="Myriad Pro" w:hAnsi="Myriad Pro" w:cs="Myriad Pro"/>
          <w:color w:val="211D1E"/>
          <w:sz w:val="36"/>
          <w:szCs w:val="36"/>
        </w:rPr>
        <w:t>A</w:t>
      </w:r>
      <w:r w:rsidRPr="003857BC">
        <w:rPr>
          <w:rStyle w:val="A2"/>
          <w:sz w:val="36"/>
          <w:szCs w:val="36"/>
          <w:vertAlign w:val="subscript"/>
        </w:rPr>
        <w:t>t</w:t>
      </w:r>
      <w:proofErr w:type="gramEnd"/>
      <w:r w:rsidRPr="003857BC">
        <w:rPr>
          <w:rStyle w:val="A2"/>
          <w:sz w:val="36"/>
          <w:szCs w:val="36"/>
        </w:rPr>
        <w:t xml:space="preserve"> </w:t>
      </w:r>
      <w:r w:rsidRPr="003857BC">
        <w:rPr>
          <w:rFonts w:ascii="Myriad Pro" w:hAnsi="Myriad Pro" w:cs="Myriad Pro"/>
          <w:color w:val="211D1E"/>
          <w:sz w:val="36"/>
          <w:szCs w:val="36"/>
        </w:rPr>
        <w:t>h</w:t>
      </w:r>
      <w:r w:rsidRPr="003857BC">
        <w:rPr>
          <w:rStyle w:val="A2"/>
          <w:sz w:val="36"/>
          <w:szCs w:val="36"/>
          <w:vertAlign w:val="subscript"/>
        </w:rPr>
        <w:t>g</w:t>
      </w:r>
      <w:r w:rsidRPr="003857BC">
        <w:rPr>
          <w:rStyle w:val="A2"/>
          <w:sz w:val="36"/>
          <w:szCs w:val="36"/>
        </w:rPr>
        <w:t xml:space="preserve"> </w:t>
      </w:r>
      <w:proofErr w:type="spellStart"/>
      <w:r>
        <w:rPr>
          <w:rFonts w:ascii="Myriad Pro" w:hAnsi="Myriad Pro" w:cs="Myriad Pro"/>
          <w:color w:val="211D1E"/>
          <w:sz w:val="36"/>
          <w:szCs w:val="36"/>
        </w:rPr>
        <w:t>Ø</w:t>
      </w:r>
      <w:r w:rsidRPr="003857BC">
        <w:rPr>
          <w:rStyle w:val="A2"/>
          <w:sz w:val="36"/>
          <w:szCs w:val="36"/>
          <w:vertAlign w:val="subscript"/>
        </w:rPr>
        <w:t>tot</w:t>
      </w:r>
      <w:proofErr w:type="spellEnd"/>
      <w:r w:rsidRPr="003857BC">
        <w:rPr>
          <w:rStyle w:val="A2"/>
          <w:sz w:val="36"/>
          <w:szCs w:val="36"/>
        </w:rPr>
        <w:t xml:space="preserve"> </w:t>
      </w:r>
      <w:proofErr w:type="spellStart"/>
      <w:r w:rsidRPr="003857BC">
        <w:rPr>
          <w:rFonts w:ascii="Myriad Pro" w:hAnsi="Myriad Pro" w:cs="Myriad Pro"/>
          <w:color w:val="211D1E"/>
          <w:sz w:val="36"/>
          <w:szCs w:val="36"/>
        </w:rPr>
        <w:t>ρE</w:t>
      </w:r>
      <w:r w:rsidRPr="003857BC">
        <w:rPr>
          <w:rStyle w:val="A2"/>
          <w:sz w:val="36"/>
          <w:szCs w:val="36"/>
          <w:vertAlign w:val="subscript"/>
        </w:rPr>
        <w:t>saline</w:t>
      </w:r>
      <w:proofErr w:type="spellEnd"/>
      <w:r w:rsidRPr="003857BC">
        <w:rPr>
          <w:rStyle w:val="A2"/>
          <w:sz w:val="36"/>
          <w:szCs w:val="36"/>
        </w:rPr>
        <w:t xml:space="preserve"> </w:t>
      </w:r>
      <w:r w:rsidR="002530C9">
        <w:rPr>
          <w:rStyle w:val="A2"/>
          <w:sz w:val="36"/>
          <w:szCs w:val="36"/>
        </w:rPr>
        <w:t>(2)</w:t>
      </w:r>
    </w:p>
    <w:p w:rsidR="002530C9" w:rsidRDefault="003857BC" w:rsidP="003857BC">
      <w:pPr>
        <w:rPr>
          <w:rFonts w:ascii="Myriad Pro" w:hAnsi="Myriad Pro" w:cs="Myriad Pro"/>
          <w:color w:val="211D1E"/>
        </w:rPr>
      </w:pPr>
      <w:r>
        <w:rPr>
          <w:rFonts w:ascii="Myriad Pro" w:hAnsi="Myriad Pro" w:cs="Myriad Pro"/>
          <w:color w:val="211D1E"/>
        </w:rPr>
        <w:t>The total area (A</w:t>
      </w:r>
      <w:r>
        <w:rPr>
          <w:rStyle w:val="A2"/>
        </w:rPr>
        <w:t>t</w:t>
      </w:r>
      <w:r>
        <w:rPr>
          <w:rFonts w:ascii="Myriad Pro" w:hAnsi="Myriad Pro" w:cs="Myriad Pro"/>
          <w:color w:val="211D1E"/>
        </w:rPr>
        <w:t>), gross formation thickness (h</w:t>
      </w:r>
      <w:r>
        <w:rPr>
          <w:rStyle w:val="A2"/>
        </w:rPr>
        <w:t>g</w:t>
      </w:r>
      <w:r>
        <w:rPr>
          <w:rFonts w:ascii="Myriad Pro" w:hAnsi="Myriad Pro" w:cs="Myriad Pro"/>
          <w:color w:val="211D1E"/>
        </w:rPr>
        <w:t>), and total porosity (</w:t>
      </w:r>
      <w:proofErr w:type="spellStart"/>
      <w:r w:rsidR="009A23A6">
        <w:rPr>
          <w:rFonts w:ascii="Myriad Pro" w:hAnsi="Myriad Pro" w:cs="Myriad Pro"/>
          <w:color w:val="211D1E"/>
        </w:rPr>
        <w:t>Ø</w:t>
      </w:r>
      <w:r>
        <w:rPr>
          <w:rStyle w:val="A2"/>
        </w:rPr>
        <w:t>tot</w:t>
      </w:r>
      <w:proofErr w:type="spellEnd"/>
      <w:r>
        <w:rPr>
          <w:rFonts w:ascii="Myriad Pro" w:hAnsi="Myriad Pro" w:cs="Myriad Pro"/>
          <w:color w:val="211D1E"/>
        </w:rPr>
        <w:t>) terms account for the total bulk volume of pore space available. The CO</w:t>
      </w:r>
      <w:r>
        <w:rPr>
          <w:rStyle w:val="A2"/>
        </w:rPr>
        <w:t xml:space="preserve">2 </w:t>
      </w:r>
      <w:r>
        <w:rPr>
          <w:rFonts w:ascii="Myriad Pro" w:hAnsi="Myriad Pro" w:cs="Myriad Pro"/>
          <w:color w:val="211D1E"/>
        </w:rPr>
        <w:t>density (ρ) converts the reservoir volume of CO</w:t>
      </w:r>
      <w:r>
        <w:rPr>
          <w:rStyle w:val="A2"/>
        </w:rPr>
        <w:t xml:space="preserve">2 </w:t>
      </w:r>
      <w:r>
        <w:rPr>
          <w:rFonts w:ascii="Myriad Pro" w:hAnsi="Myriad Pro" w:cs="Myriad Pro"/>
          <w:color w:val="211D1E"/>
        </w:rPr>
        <w:t>to mass. Rather than using an irreducible water saturation parameter explicitly, the storage efficiency factor (</w:t>
      </w:r>
      <w:proofErr w:type="spellStart"/>
      <w:r>
        <w:rPr>
          <w:rFonts w:ascii="Myriad Pro" w:hAnsi="Myriad Pro" w:cs="Myriad Pro"/>
          <w:color w:val="211D1E"/>
        </w:rPr>
        <w:t>E</w:t>
      </w:r>
      <w:r>
        <w:rPr>
          <w:rStyle w:val="A2"/>
        </w:rPr>
        <w:t>saline</w:t>
      </w:r>
      <w:proofErr w:type="spellEnd"/>
      <w:r>
        <w:rPr>
          <w:rFonts w:ascii="Myriad Pro" w:hAnsi="Myriad Pro" w:cs="Myriad Pro"/>
          <w:color w:val="211D1E"/>
        </w:rPr>
        <w:t>) reflects the fraction of the total pore volume that will be occupied by the injected CO</w:t>
      </w:r>
      <w:r>
        <w:rPr>
          <w:rStyle w:val="A2"/>
        </w:rPr>
        <w:t>2</w:t>
      </w:r>
      <w:r>
        <w:rPr>
          <w:rFonts w:ascii="Myriad Pro" w:hAnsi="Myriad Pro" w:cs="Myriad Pro"/>
          <w:color w:val="211D1E"/>
        </w:rPr>
        <w:t xml:space="preserve">. As described in section 5.1., </w:t>
      </w:r>
      <w:proofErr w:type="spellStart"/>
      <w:r>
        <w:rPr>
          <w:rFonts w:ascii="Myriad Pro" w:hAnsi="Myriad Pro" w:cs="Myriad Pro"/>
          <w:color w:val="211D1E"/>
        </w:rPr>
        <w:t>E</w:t>
      </w:r>
      <w:r>
        <w:rPr>
          <w:rStyle w:val="A2"/>
        </w:rPr>
        <w:t>saline</w:t>
      </w:r>
      <w:proofErr w:type="spellEnd"/>
      <w:r>
        <w:rPr>
          <w:rStyle w:val="A2"/>
        </w:rPr>
        <w:t xml:space="preserve"> </w:t>
      </w:r>
      <w:r>
        <w:rPr>
          <w:rFonts w:ascii="Myriad Pro" w:hAnsi="Myriad Pro" w:cs="Myriad Pro"/>
          <w:color w:val="211D1E"/>
        </w:rPr>
        <w:t>factors range between 0.40 and 5.5 percent over the 10</w:t>
      </w:r>
      <w:r>
        <w:rPr>
          <w:rStyle w:val="A25"/>
        </w:rPr>
        <w:t xml:space="preserve">th </w:t>
      </w:r>
      <w:r>
        <w:rPr>
          <w:rFonts w:ascii="Myriad Pro" w:hAnsi="Myriad Pro" w:cs="Myriad Pro"/>
          <w:color w:val="211D1E"/>
        </w:rPr>
        <w:t>to 90</w:t>
      </w:r>
      <w:r>
        <w:rPr>
          <w:rStyle w:val="A25"/>
        </w:rPr>
        <w:t xml:space="preserve">th </w:t>
      </w:r>
      <w:r>
        <w:rPr>
          <w:rFonts w:ascii="Myriad Pro" w:hAnsi="Myriad Pro" w:cs="Myriad Pro"/>
          <w:color w:val="211D1E"/>
        </w:rPr>
        <w:t xml:space="preserve">percent probability range. Table 2 summarizes the terms shown in </w:t>
      </w:r>
      <w:proofErr w:type="spellStart"/>
      <w:r>
        <w:rPr>
          <w:rFonts w:ascii="Myriad Pro" w:hAnsi="Myriad Pro" w:cs="Myriad Pro"/>
          <w:color w:val="211D1E"/>
        </w:rPr>
        <w:t>eq</w:t>
      </w:r>
      <w:proofErr w:type="spellEnd"/>
      <w:r>
        <w:rPr>
          <w:rFonts w:ascii="Myriad Pro" w:hAnsi="Myriad Pro" w:cs="Myriad Pro"/>
          <w:color w:val="211D1E"/>
        </w:rPr>
        <w:t xml:space="preserve"> 2. </w:t>
      </w:r>
    </w:p>
    <w:p w:rsidR="002530C9" w:rsidRDefault="002530C9" w:rsidP="003857BC">
      <w:pPr>
        <w:rPr>
          <w:rFonts w:ascii="Myriad Pro" w:hAnsi="Myriad Pro" w:cs="Myriad Pro"/>
          <w:color w:val="211D1E"/>
        </w:rPr>
      </w:pPr>
      <w:r>
        <w:rPr>
          <w:rFonts w:ascii="Myriad Pro" w:hAnsi="Myriad Pro" w:cs="Myriad Pro"/>
          <w:noProof/>
          <w:color w:val="211D1E"/>
        </w:rPr>
        <w:lastRenderedPageBreak/>
        <w:drawing>
          <wp:inline distT="0" distB="0" distL="0" distR="0">
            <wp:extent cx="5048693" cy="2466975"/>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cstate="print"/>
                    <a:srcRect l="62339" t="20207" r="23558" b="57513"/>
                    <a:stretch>
                      <a:fillRect/>
                    </a:stretch>
                  </pic:blipFill>
                  <pic:spPr bwMode="auto">
                    <a:xfrm>
                      <a:off x="0" y="0"/>
                      <a:ext cx="5048693" cy="2466975"/>
                    </a:xfrm>
                    <a:prstGeom prst="rect">
                      <a:avLst/>
                    </a:prstGeom>
                    <a:noFill/>
                    <a:ln w="9525">
                      <a:noFill/>
                      <a:miter lim="800000"/>
                      <a:headEnd/>
                      <a:tailEnd/>
                    </a:ln>
                  </pic:spPr>
                </pic:pic>
              </a:graphicData>
            </a:graphic>
          </wp:inline>
        </w:drawing>
      </w:r>
    </w:p>
    <w:p w:rsidR="002530C9" w:rsidRPr="002530C9" w:rsidRDefault="002530C9" w:rsidP="002530C9">
      <w:pPr>
        <w:autoSpaceDE w:val="0"/>
        <w:autoSpaceDN w:val="0"/>
        <w:adjustRightInd w:val="0"/>
        <w:spacing w:after="260" w:line="221" w:lineRule="atLeast"/>
        <w:rPr>
          <w:rFonts w:ascii="Myriad Pro" w:hAnsi="Myriad Pro" w:cs="Myriad Pro"/>
          <w:color w:val="72A977"/>
          <w:sz w:val="36"/>
          <w:szCs w:val="36"/>
        </w:rPr>
      </w:pPr>
      <w:r w:rsidRPr="002530C9">
        <w:rPr>
          <w:rFonts w:ascii="Myriad Pro" w:hAnsi="Myriad Pro" w:cs="Myriad Pro"/>
          <w:b/>
          <w:bCs/>
          <w:color w:val="72A977"/>
          <w:sz w:val="36"/>
        </w:rPr>
        <w:t>5. CO</w:t>
      </w:r>
      <w:r w:rsidRPr="002530C9">
        <w:rPr>
          <w:rFonts w:ascii="Myriad Pro" w:hAnsi="Myriad Pro" w:cs="Myriad Pro"/>
          <w:b/>
          <w:bCs/>
          <w:color w:val="72A977"/>
          <w:sz w:val="21"/>
        </w:rPr>
        <w:t xml:space="preserve">2 </w:t>
      </w:r>
      <w:r w:rsidRPr="002530C9">
        <w:rPr>
          <w:rFonts w:ascii="Myriad Pro" w:hAnsi="Myriad Pro" w:cs="Myriad Pro"/>
          <w:b/>
          <w:bCs/>
          <w:color w:val="72A977"/>
          <w:sz w:val="36"/>
        </w:rPr>
        <w:t>Storage Efficiency for Resource Estimates</w:t>
      </w:r>
    </w:p>
    <w:p w:rsidR="002530C9" w:rsidRPr="002530C9" w:rsidRDefault="002530C9" w:rsidP="002530C9">
      <w:pPr>
        <w:autoSpaceDE w:val="0"/>
        <w:autoSpaceDN w:val="0"/>
        <w:adjustRightInd w:val="0"/>
        <w:spacing w:after="260" w:line="221" w:lineRule="atLeast"/>
        <w:rPr>
          <w:rFonts w:ascii="Myriad Pro" w:hAnsi="Myriad Pro" w:cs="Myriad Pro"/>
          <w:color w:val="211D1E"/>
        </w:rPr>
      </w:pPr>
      <w:r w:rsidRPr="002530C9">
        <w:rPr>
          <w:rFonts w:ascii="Myriad Pro" w:hAnsi="Myriad Pro" w:cs="Myriad Pro"/>
          <w:color w:val="211D1E"/>
        </w:rPr>
        <w:t>Carbon dioxide storage efficiency gauges the fraction of accessible pore volume that will be occupied by the injected CO</w:t>
      </w:r>
      <w:r w:rsidRPr="002530C9">
        <w:rPr>
          <w:rFonts w:ascii="Myriad Pro" w:hAnsi="Myriad Pro" w:cs="Myriad Pro"/>
          <w:color w:val="211D1E"/>
          <w:sz w:val="12"/>
        </w:rPr>
        <w:t>2</w:t>
      </w:r>
      <w:r w:rsidRPr="002530C9">
        <w:rPr>
          <w:rFonts w:ascii="Myriad Pro" w:hAnsi="Myriad Pro" w:cs="Myriad Pro"/>
          <w:color w:val="211D1E"/>
        </w:rPr>
        <w:t xml:space="preserve">. In open systems, the fraction of accessible pore volume is estimated by geologic terms (area, thickness, and porosity) and displacement terms (areal, vertical, gravity, and microscopic displacement) (Lake, 1989). Monte Carlo sampling techniques, as described in Sections 5.1 and </w:t>
      </w:r>
      <w:proofErr w:type="gramStart"/>
      <w:r w:rsidRPr="002530C9">
        <w:rPr>
          <w:rFonts w:ascii="Myriad Pro" w:hAnsi="Myriad Pro" w:cs="Myriad Pro"/>
          <w:color w:val="211D1E"/>
        </w:rPr>
        <w:t>5.2,</w:t>
      </w:r>
      <w:proofErr w:type="gramEnd"/>
      <w:r w:rsidRPr="002530C9">
        <w:rPr>
          <w:rFonts w:ascii="Myriad Pro" w:hAnsi="Myriad Pro" w:cs="Myriad Pro"/>
          <w:color w:val="211D1E"/>
        </w:rPr>
        <w:t xml:space="preserve"> were used to estimate efficiency factors for CO</w:t>
      </w:r>
      <w:r w:rsidRPr="002530C9">
        <w:rPr>
          <w:rFonts w:ascii="Myriad Pro" w:hAnsi="Myriad Pro" w:cs="Myriad Pro"/>
          <w:color w:val="211D1E"/>
          <w:sz w:val="12"/>
        </w:rPr>
        <w:t xml:space="preserve">2 </w:t>
      </w:r>
      <w:r w:rsidRPr="002530C9">
        <w:rPr>
          <w:rFonts w:ascii="Myriad Pro" w:hAnsi="Myriad Pro" w:cs="Myriad Pro"/>
          <w:color w:val="211D1E"/>
        </w:rPr>
        <w:t xml:space="preserve">storage resource estimates for both saline formations and </w:t>
      </w:r>
      <w:proofErr w:type="spellStart"/>
      <w:r w:rsidRPr="002530C9">
        <w:rPr>
          <w:rFonts w:ascii="Myriad Pro" w:hAnsi="Myriad Pro" w:cs="Myriad Pro"/>
          <w:color w:val="211D1E"/>
        </w:rPr>
        <w:t>unmineable</w:t>
      </w:r>
      <w:proofErr w:type="spellEnd"/>
      <w:r w:rsidRPr="002530C9">
        <w:rPr>
          <w:rFonts w:ascii="Myriad Pro" w:hAnsi="Myriad Pro" w:cs="Myriad Pro"/>
          <w:color w:val="211D1E"/>
        </w:rPr>
        <w:t xml:space="preserve"> coal areas over the P</w:t>
      </w:r>
      <w:r w:rsidRPr="002530C9">
        <w:rPr>
          <w:rFonts w:ascii="Myriad Pro" w:hAnsi="Myriad Pro" w:cs="Myriad Pro"/>
          <w:color w:val="211D1E"/>
          <w:sz w:val="12"/>
        </w:rPr>
        <w:t>10</w:t>
      </w:r>
      <w:r w:rsidRPr="002530C9">
        <w:rPr>
          <w:rFonts w:ascii="Myriad Pro" w:hAnsi="Myriad Pro" w:cs="Myriad Pro"/>
          <w:color w:val="211D1E"/>
        </w:rPr>
        <w:t>, P</w:t>
      </w:r>
      <w:r w:rsidRPr="002530C9">
        <w:rPr>
          <w:rFonts w:ascii="Myriad Pro" w:hAnsi="Myriad Pro" w:cs="Myriad Pro"/>
          <w:color w:val="211D1E"/>
          <w:sz w:val="12"/>
        </w:rPr>
        <w:t>50</w:t>
      </w:r>
      <w:r w:rsidRPr="002530C9">
        <w:rPr>
          <w:rFonts w:ascii="Myriad Pro" w:hAnsi="Myriad Pro" w:cs="Myriad Pro"/>
          <w:color w:val="211D1E"/>
        </w:rPr>
        <w:t>, and P</w:t>
      </w:r>
      <w:r w:rsidRPr="002530C9">
        <w:rPr>
          <w:rFonts w:ascii="Myriad Pro" w:hAnsi="Myriad Pro" w:cs="Myriad Pro"/>
          <w:color w:val="211D1E"/>
          <w:sz w:val="12"/>
        </w:rPr>
        <w:t xml:space="preserve">90 </w:t>
      </w:r>
      <w:r w:rsidRPr="002530C9">
        <w:rPr>
          <w:rFonts w:ascii="Myriad Pro" w:hAnsi="Myriad Pro" w:cs="Myriad Pro"/>
          <w:color w:val="211D1E"/>
        </w:rPr>
        <w:t>percent probability range. Efficiency in this methodology is comprised of statistical properties of geologic and displacement parameters.</w:t>
      </w:r>
    </w:p>
    <w:p w:rsidR="002530C9" w:rsidRPr="002530C9" w:rsidRDefault="002530C9" w:rsidP="002530C9">
      <w:pPr>
        <w:autoSpaceDE w:val="0"/>
        <w:autoSpaceDN w:val="0"/>
        <w:adjustRightInd w:val="0"/>
        <w:spacing w:before="80" w:after="0" w:line="301" w:lineRule="atLeast"/>
        <w:rPr>
          <w:rFonts w:ascii="Myriad Pro Light" w:hAnsi="Myriad Pro Light" w:cs="Myriad Pro Light"/>
          <w:color w:val="211D1E"/>
          <w:sz w:val="30"/>
          <w:szCs w:val="30"/>
        </w:rPr>
      </w:pPr>
      <w:r w:rsidRPr="002530C9">
        <w:rPr>
          <w:rFonts w:ascii="Myriad Pro Light" w:hAnsi="Myriad Pro Light" w:cs="Myriad Pro Light"/>
          <w:b/>
          <w:bCs/>
          <w:color w:val="211D1E"/>
          <w:sz w:val="30"/>
          <w:szCs w:val="30"/>
        </w:rPr>
        <w:t>5.1. Storage Efficiency of Saline Formations</w:t>
      </w:r>
    </w:p>
    <w:p w:rsidR="002530C9" w:rsidRPr="002530C9" w:rsidRDefault="002530C9" w:rsidP="002530C9">
      <w:pPr>
        <w:autoSpaceDE w:val="0"/>
        <w:autoSpaceDN w:val="0"/>
        <w:adjustRightInd w:val="0"/>
        <w:spacing w:after="260" w:line="221" w:lineRule="atLeast"/>
        <w:rPr>
          <w:rFonts w:ascii="Myriad Pro" w:hAnsi="Myriad Pro" w:cs="Myriad Pro"/>
          <w:color w:val="211D1E"/>
        </w:rPr>
      </w:pPr>
      <w:r w:rsidRPr="002530C9">
        <w:rPr>
          <w:rFonts w:ascii="Myriad Pro" w:hAnsi="Myriad Pro" w:cs="Myriad Pro"/>
          <w:color w:val="211D1E"/>
        </w:rPr>
        <w:t>For saline formations, the CO</w:t>
      </w:r>
      <w:r w:rsidRPr="002530C9">
        <w:rPr>
          <w:rFonts w:ascii="Myriad Pro" w:hAnsi="Myriad Pro" w:cs="Myriad Pro"/>
          <w:color w:val="211D1E"/>
          <w:sz w:val="12"/>
        </w:rPr>
        <w:t xml:space="preserve">2 </w:t>
      </w:r>
      <w:r w:rsidRPr="002530C9">
        <w:rPr>
          <w:rFonts w:ascii="Myriad Pro" w:hAnsi="Myriad Pro" w:cs="Myriad Pro"/>
          <w:color w:val="211D1E"/>
        </w:rPr>
        <w:t>storage efficiency factor is a function of geologic parameters, such as area (</w:t>
      </w:r>
      <w:proofErr w:type="spellStart"/>
      <w:r w:rsidRPr="002530C9">
        <w:rPr>
          <w:rFonts w:ascii="Myriad Pro" w:hAnsi="Myriad Pro" w:cs="Myriad Pro"/>
          <w:color w:val="211D1E"/>
        </w:rPr>
        <w:t>E</w:t>
      </w:r>
      <w:r w:rsidRPr="002530C9">
        <w:rPr>
          <w:rFonts w:ascii="Myriad Pro" w:hAnsi="Myriad Pro" w:cs="Myriad Pro"/>
          <w:color w:val="211D1E"/>
          <w:sz w:val="12"/>
        </w:rPr>
        <w:t>An</w:t>
      </w:r>
      <w:proofErr w:type="spellEnd"/>
      <w:r w:rsidRPr="002530C9">
        <w:rPr>
          <w:rFonts w:ascii="Myriad Pro" w:hAnsi="Myriad Pro" w:cs="Myriad Pro"/>
          <w:color w:val="211D1E"/>
          <w:sz w:val="12"/>
        </w:rPr>
        <w:t>/At</w:t>
      </w:r>
      <w:r w:rsidRPr="002530C9">
        <w:rPr>
          <w:rFonts w:ascii="Myriad Pro" w:hAnsi="Myriad Pro" w:cs="Myriad Pro"/>
          <w:color w:val="211D1E"/>
        </w:rPr>
        <w:t>), gross thickness (</w:t>
      </w:r>
      <w:proofErr w:type="spellStart"/>
      <w:r w:rsidRPr="002530C9">
        <w:rPr>
          <w:rFonts w:ascii="Myriad Pro" w:hAnsi="Myriad Pro" w:cs="Myriad Pro"/>
          <w:color w:val="211D1E"/>
        </w:rPr>
        <w:t>E</w:t>
      </w:r>
      <w:r w:rsidRPr="002530C9">
        <w:rPr>
          <w:rFonts w:ascii="Myriad Pro" w:hAnsi="Myriad Pro" w:cs="Myriad Pro"/>
          <w:color w:val="211D1E"/>
          <w:sz w:val="12"/>
        </w:rPr>
        <w:t>hn</w:t>
      </w:r>
      <w:proofErr w:type="spellEnd"/>
      <w:r w:rsidRPr="002530C9">
        <w:rPr>
          <w:rFonts w:ascii="Myriad Pro" w:hAnsi="Myriad Pro" w:cs="Myriad Pro"/>
          <w:color w:val="211D1E"/>
          <w:sz w:val="12"/>
        </w:rPr>
        <w:t>/hg</w:t>
      </w:r>
      <w:r w:rsidRPr="002530C9">
        <w:rPr>
          <w:rFonts w:ascii="Myriad Pro" w:hAnsi="Myriad Pro" w:cs="Myriad Pro"/>
          <w:color w:val="211D1E"/>
        </w:rPr>
        <w:t>), and total porosity (</w:t>
      </w:r>
      <w:proofErr w:type="spellStart"/>
      <w:r w:rsidRPr="002530C9">
        <w:rPr>
          <w:rFonts w:ascii="Myriad Pro" w:hAnsi="Myriad Pro" w:cs="Myriad Pro"/>
          <w:color w:val="211D1E"/>
        </w:rPr>
        <w:t>E</w:t>
      </w:r>
      <w:r w:rsidRPr="002530C9">
        <w:rPr>
          <w:rFonts w:ascii="Myriad Pro" w:hAnsi="Myriad Pro" w:cs="Myriad Pro"/>
          <w:color w:val="211D1E"/>
          <w:sz w:val="12"/>
        </w:rPr>
        <w:t>φe</w:t>
      </w:r>
      <w:proofErr w:type="spellEnd"/>
      <w:r w:rsidRPr="002530C9">
        <w:rPr>
          <w:rFonts w:ascii="Myriad Pro" w:hAnsi="Myriad Pro" w:cs="Myriad Pro"/>
          <w:color w:val="211D1E"/>
          <w:sz w:val="12"/>
        </w:rPr>
        <w:t xml:space="preserve">/ </w:t>
      </w:r>
      <w:proofErr w:type="spellStart"/>
      <w:r w:rsidRPr="002530C9">
        <w:rPr>
          <w:rFonts w:ascii="Myriad Pro" w:hAnsi="Myriad Pro" w:cs="Myriad Pro"/>
          <w:color w:val="211D1E"/>
          <w:sz w:val="12"/>
        </w:rPr>
        <w:t>φtot</w:t>
      </w:r>
      <w:proofErr w:type="spellEnd"/>
      <w:r w:rsidRPr="002530C9">
        <w:rPr>
          <w:rFonts w:ascii="Myriad Pro" w:hAnsi="Myriad Pro" w:cs="Myriad Pro"/>
          <w:color w:val="211D1E"/>
        </w:rPr>
        <w:t>), that reflect the percentage of volume amenable to CO</w:t>
      </w:r>
      <w:r w:rsidRPr="002530C9">
        <w:rPr>
          <w:rFonts w:ascii="Myriad Pro" w:hAnsi="Myriad Pro" w:cs="Myriad Pro"/>
          <w:color w:val="211D1E"/>
          <w:sz w:val="12"/>
        </w:rPr>
        <w:t xml:space="preserve">2 </w:t>
      </w:r>
      <w:r w:rsidRPr="002530C9">
        <w:rPr>
          <w:rFonts w:ascii="Myriad Pro" w:hAnsi="Myriad Pro" w:cs="Myriad Pro"/>
          <w:color w:val="211D1E"/>
        </w:rPr>
        <w:t>sequestration and displacement efficiency components, such as areal (E</w:t>
      </w:r>
      <w:r w:rsidRPr="002530C9">
        <w:rPr>
          <w:rFonts w:ascii="Myriad Pro" w:hAnsi="Myriad Pro" w:cs="Myriad Pro"/>
          <w:color w:val="211D1E"/>
          <w:sz w:val="12"/>
        </w:rPr>
        <w:t>A</w:t>
      </w:r>
      <w:r w:rsidRPr="002530C9">
        <w:rPr>
          <w:rFonts w:ascii="Myriad Pro" w:hAnsi="Myriad Pro" w:cs="Myriad Pro"/>
          <w:color w:val="211D1E"/>
        </w:rPr>
        <w:t>), vertical (E</w:t>
      </w:r>
      <w:r w:rsidRPr="002530C9">
        <w:rPr>
          <w:rFonts w:ascii="Myriad Pro" w:hAnsi="Myriad Pro" w:cs="Myriad Pro"/>
          <w:color w:val="211D1E"/>
          <w:sz w:val="12"/>
        </w:rPr>
        <w:t>L</w:t>
      </w:r>
      <w:r w:rsidRPr="002530C9">
        <w:rPr>
          <w:rFonts w:ascii="Myriad Pro" w:hAnsi="Myriad Pro" w:cs="Myriad Pro"/>
          <w:color w:val="211D1E"/>
        </w:rPr>
        <w:t>), gravity (</w:t>
      </w:r>
      <w:proofErr w:type="spellStart"/>
      <w:r w:rsidRPr="002530C9">
        <w:rPr>
          <w:rFonts w:ascii="Myriad Pro" w:hAnsi="Myriad Pro" w:cs="Myriad Pro"/>
          <w:color w:val="211D1E"/>
        </w:rPr>
        <w:t>E</w:t>
      </w:r>
      <w:r w:rsidRPr="002530C9">
        <w:rPr>
          <w:rFonts w:ascii="Myriad Pro" w:hAnsi="Myriad Pro" w:cs="Myriad Pro"/>
          <w:color w:val="211D1E"/>
          <w:sz w:val="12"/>
        </w:rPr>
        <w:t>g</w:t>
      </w:r>
      <w:proofErr w:type="spellEnd"/>
      <w:r w:rsidRPr="002530C9">
        <w:rPr>
          <w:rFonts w:ascii="Myriad Pro" w:hAnsi="Myriad Pro" w:cs="Myriad Pro"/>
          <w:color w:val="211D1E"/>
        </w:rPr>
        <w:t xml:space="preserve">), and </w:t>
      </w:r>
      <w:proofErr w:type="spellStart"/>
      <w:r w:rsidRPr="002530C9">
        <w:rPr>
          <w:rFonts w:ascii="Myriad Pro" w:hAnsi="Myriad Pro" w:cs="Myriad Pro"/>
          <w:color w:val="211D1E"/>
        </w:rPr>
        <w:t>microsocopic</w:t>
      </w:r>
      <w:proofErr w:type="spellEnd"/>
      <w:r w:rsidRPr="002530C9">
        <w:rPr>
          <w:rFonts w:ascii="Myriad Pro" w:hAnsi="Myriad Pro" w:cs="Myriad Pro"/>
          <w:color w:val="211D1E"/>
        </w:rPr>
        <w:t xml:space="preserve"> (E</w:t>
      </w:r>
      <w:r w:rsidRPr="002530C9">
        <w:rPr>
          <w:rFonts w:ascii="Myriad Pro" w:hAnsi="Myriad Pro" w:cs="Myriad Pro"/>
          <w:color w:val="211D1E"/>
          <w:sz w:val="12"/>
        </w:rPr>
        <w:t>d</w:t>
      </w:r>
      <w:r w:rsidRPr="002530C9">
        <w:rPr>
          <w:rFonts w:ascii="Myriad Pro" w:hAnsi="Myriad Pro" w:cs="Myriad Pro"/>
          <w:color w:val="211D1E"/>
        </w:rPr>
        <w:t>), that reflect different physical barriers that inhibit CO</w:t>
      </w:r>
      <w:r w:rsidRPr="002530C9">
        <w:rPr>
          <w:rFonts w:ascii="Myriad Pro" w:hAnsi="Myriad Pro" w:cs="Myriad Pro"/>
          <w:color w:val="211D1E"/>
          <w:sz w:val="12"/>
        </w:rPr>
        <w:t xml:space="preserve">2 </w:t>
      </w:r>
      <w:r w:rsidRPr="002530C9">
        <w:rPr>
          <w:rFonts w:ascii="Myriad Pro" w:hAnsi="Myriad Pro" w:cs="Myriad Pro"/>
          <w:color w:val="211D1E"/>
        </w:rPr>
        <w:t xml:space="preserve">from contacting 100 percent of the pore volume of a given basin or region (Bachu et al., 2007; Doughty and </w:t>
      </w:r>
      <w:proofErr w:type="spellStart"/>
      <w:r w:rsidRPr="002530C9">
        <w:rPr>
          <w:rFonts w:ascii="Myriad Pro" w:hAnsi="Myriad Pro" w:cs="Myriad Pro"/>
          <w:color w:val="211D1E"/>
        </w:rPr>
        <w:t>Pruess</w:t>
      </w:r>
      <w:proofErr w:type="spellEnd"/>
      <w:r w:rsidRPr="002530C9">
        <w:rPr>
          <w:rFonts w:ascii="Myriad Pro" w:hAnsi="Myriad Pro" w:cs="Myriad Pro"/>
          <w:color w:val="211D1E"/>
        </w:rPr>
        <w:t xml:space="preserve">, 2004; </w:t>
      </w:r>
      <w:r w:rsidRPr="002530C9">
        <w:rPr>
          <w:rFonts w:ascii="Myriad Pro" w:hAnsi="Myriad Pro" w:cs="Myriad Pro"/>
          <w:color w:val="000000"/>
        </w:rPr>
        <w:t>K</w:t>
      </w:r>
      <w:r w:rsidRPr="002530C9">
        <w:rPr>
          <w:rFonts w:ascii="Myriad Pro" w:hAnsi="Myriad Pro" w:cs="Myriad Pro"/>
          <w:color w:val="211D1E"/>
        </w:rPr>
        <w:t xml:space="preserve">oide et al., 1992; </w:t>
      </w:r>
      <w:proofErr w:type="spellStart"/>
      <w:r w:rsidRPr="002530C9">
        <w:rPr>
          <w:rFonts w:ascii="Myriad Pro" w:hAnsi="Myriad Pro" w:cs="Myriad Pro"/>
          <w:color w:val="211D1E"/>
        </w:rPr>
        <w:t>Shafeen</w:t>
      </w:r>
      <w:proofErr w:type="spellEnd"/>
      <w:r w:rsidRPr="002530C9">
        <w:rPr>
          <w:rFonts w:ascii="Myriad Pro" w:hAnsi="Myriad Pro" w:cs="Myriad Pro"/>
          <w:color w:val="211D1E"/>
        </w:rPr>
        <w:t xml:space="preserve"> et al., 2004; van de Meer, 1992). Equation 5 describes the individual parameters required to estimate the CO</w:t>
      </w:r>
      <w:r w:rsidRPr="002530C9">
        <w:rPr>
          <w:rFonts w:ascii="Myriad Pro" w:hAnsi="Myriad Pro" w:cs="Myriad Pro"/>
          <w:color w:val="211D1E"/>
          <w:sz w:val="12"/>
        </w:rPr>
        <w:t xml:space="preserve">2 </w:t>
      </w:r>
      <w:r w:rsidRPr="002530C9">
        <w:rPr>
          <w:rFonts w:ascii="Myriad Pro" w:hAnsi="Myriad Pro" w:cs="Myriad Pro"/>
          <w:color w:val="211D1E"/>
        </w:rPr>
        <w:t xml:space="preserve">storage efficiency factor for saline formations: </w:t>
      </w:r>
    </w:p>
    <w:p w:rsidR="002530C9" w:rsidRPr="002530C9" w:rsidRDefault="002530C9" w:rsidP="002530C9">
      <w:pPr>
        <w:autoSpaceDE w:val="0"/>
        <w:autoSpaceDN w:val="0"/>
        <w:adjustRightInd w:val="0"/>
        <w:spacing w:after="260" w:line="221" w:lineRule="atLeast"/>
        <w:rPr>
          <w:rFonts w:ascii="Myriad Pro" w:hAnsi="Myriad Pro" w:cs="Myriad Pro"/>
          <w:color w:val="000000"/>
          <w:sz w:val="28"/>
          <w:szCs w:val="28"/>
        </w:rPr>
      </w:pPr>
      <w:proofErr w:type="spellStart"/>
      <w:r w:rsidRPr="002530C9">
        <w:rPr>
          <w:rFonts w:ascii="Myriad Pro" w:hAnsi="Myriad Pro" w:cs="Myriad Pro"/>
          <w:color w:val="211D1E"/>
          <w:sz w:val="28"/>
          <w:szCs w:val="28"/>
        </w:rPr>
        <w:t>E</w:t>
      </w:r>
      <w:r w:rsidRPr="002530C9">
        <w:rPr>
          <w:rFonts w:ascii="Myriad Pro" w:hAnsi="Myriad Pro" w:cs="Myriad Pro"/>
          <w:color w:val="211D1E"/>
          <w:sz w:val="28"/>
          <w:szCs w:val="28"/>
          <w:vertAlign w:val="subscript"/>
        </w:rPr>
        <w:t>saline</w:t>
      </w:r>
      <w:proofErr w:type="spellEnd"/>
      <w:r w:rsidRPr="002530C9">
        <w:rPr>
          <w:rFonts w:ascii="Myriad Pro" w:hAnsi="Myriad Pro" w:cs="Myriad Pro"/>
          <w:color w:val="211D1E"/>
          <w:sz w:val="28"/>
          <w:szCs w:val="28"/>
        </w:rPr>
        <w:t xml:space="preserve"> = </w:t>
      </w:r>
      <w:proofErr w:type="spellStart"/>
      <w:r w:rsidRPr="002530C9">
        <w:rPr>
          <w:rFonts w:ascii="Myriad Pro" w:hAnsi="Myriad Pro" w:cs="Myriad Pro"/>
          <w:color w:val="211D1E"/>
          <w:sz w:val="28"/>
          <w:szCs w:val="28"/>
        </w:rPr>
        <w:t>E</w:t>
      </w:r>
      <w:r w:rsidRPr="002530C9">
        <w:rPr>
          <w:rFonts w:ascii="Myriad Pro" w:hAnsi="Myriad Pro" w:cs="Myriad Pro"/>
          <w:color w:val="211D1E"/>
          <w:sz w:val="28"/>
          <w:szCs w:val="28"/>
          <w:vertAlign w:val="subscript"/>
        </w:rPr>
        <w:t>An</w:t>
      </w:r>
      <w:proofErr w:type="spellEnd"/>
      <w:r w:rsidRPr="002530C9">
        <w:rPr>
          <w:rFonts w:ascii="Myriad Pro" w:hAnsi="Myriad Pro" w:cs="Myriad Pro"/>
          <w:color w:val="211D1E"/>
          <w:sz w:val="28"/>
          <w:szCs w:val="28"/>
          <w:vertAlign w:val="subscript"/>
        </w:rPr>
        <w:t>/At</w:t>
      </w:r>
      <w:r w:rsidRPr="002530C9">
        <w:rPr>
          <w:rFonts w:ascii="Myriad Pro" w:hAnsi="Myriad Pro" w:cs="Myriad Pro"/>
          <w:color w:val="211D1E"/>
          <w:sz w:val="28"/>
          <w:szCs w:val="28"/>
        </w:rPr>
        <w:t xml:space="preserve"> </w:t>
      </w:r>
      <w:proofErr w:type="spellStart"/>
      <w:r w:rsidRPr="002530C9">
        <w:rPr>
          <w:rFonts w:ascii="Myriad Pro" w:hAnsi="Myriad Pro" w:cs="Myriad Pro"/>
          <w:color w:val="211D1E"/>
          <w:sz w:val="28"/>
          <w:szCs w:val="28"/>
        </w:rPr>
        <w:t>E</w:t>
      </w:r>
      <w:r w:rsidRPr="002530C9">
        <w:rPr>
          <w:rFonts w:ascii="Myriad Pro" w:hAnsi="Myriad Pro" w:cs="Myriad Pro"/>
          <w:color w:val="211D1E"/>
          <w:sz w:val="28"/>
          <w:szCs w:val="28"/>
          <w:vertAlign w:val="subscript"/>
        </w:rPr>
        <w:t>hn</w:t>
      </w:r>
      <w:proofErr w:type="spellEnd"/>
      <w:r w:rsidRPr="002530C9">
        <w:rPr>
          <w:rFonts w:ascii="Myriad Pro" w:hAnsi="Myriad Pro" w:cs="Myriad Pro"/>
          <w:color w:val="211D1E"/>
          <w:sz w:val="28"/>
          <w:szCs w:val="28"/>
          <w:vertAlign w:val="subscript"/>
        </w:rPr>
        <w:t xml:space="preserve">/hg </w:t>
      </w:r>
      <w:proofErr w:type="spellStart"/>
      <w:r w:rsidRPr="002530C9">
        <w:rPr>
          <w:rFonts w:ascii="Myriad Pro" w:hAnsi="Myriad Pro" w:cs="Myriad Pro"/>
          <w:color w:val="211D1E"/>
          <w:sz w:val="28"/>
          <w:szCs w:val="28"/>
        </w:rPr>
        <w:t>E</w:t>
      </w:r>
      <w:r w:rsidR="006C3D3B">
        <w:rPr>
          <w:rFonts w:ascii="Myriad Pro" w:hAnsi="Myriad Pro" w:cs="Myriad Pro"/>
          <w:color w:val="211D1E"/>
          <w:sz w:val="28"/>
          <w:szCs w:val="28"/>
          <w:vertAlign w:val="subscript"/>
        </w:rPr>
        <w:t>Ø</w:t>
      </w:r>
      <w:r w:rsidRPr="002530C9">
        <w:rPr>
          <w:rFonts w:ascii="Myriad Pro" w:hAnsi="Myriad Pro" w:cs="Myriad Pro"/>
          <w:color w:val="211D1E"/>
          <w:sz w:val="28"/>
          <w:szCs w:val="28"/>
          <w:vertAlign w:val="subscript"/>
        </w:rPr>
        <w:t>e</w:t>
      </w:r>
      <w:proofErr w:type="spellEnd"/>
      <w:r w:rsidRPr="002530C9">
        <w:rPr>
          <w:rFonts w:ascii="Myriad Pro" w:hAnsi="Myriad Pro" w:cs="Myriad Pro"/>
          <w:color w:val="211D1E"/>
          <w:sz w:val="28"/>
          <w:szCs w:val="28"/>
          <w:vertAlign w:val="subscript"/>
        </w:rPr>
        <w:t xml:space="preserve">/ </w:t>
      </w:r>
      <w:proofErr w:type="spellStart"/>
      <w:r w:rsidR="006C3D3B">
        <w:rPr>
          <w:rFonts w:ascii="Myriad Pro" w:hAnsi="Myriad Pro" w:cs="Myriad Pro"/>
          <w:color w:val="211D1E"/>
          <w:sz w:val="28"/>
          <w:szCs w:val="28"/>
          <w:vertAlign w:val="subscript"/>
        </w:rPr>
        <w:t>Ø</w:t>
      </w:r>
      <w:r w:rsidRPr="002530C9">
        <w:rPr>
          <w:rFonts w:ascii="Myriad Pro" w:hAnsi="Myriad Pro" w:cs="Myriad Pro"/>
          <w:color w:val="211D1E"/>
          <w:sz w:val="28"/>
          <w:szCs w:val="28"/>
          <w:vertAlign w:val="subscript"/>
        </w:rPr>
        <w:t>tot</w:t>
      </w:r>
      <w:proofErr w:type="spellEnd"/>
      <w:r w:rsidRPr="002530C9">
        <w:rPr>
          <w:rFonts w:ascii="Myriad Pro" w:hAnsi="Myriad Pro" w:cs="Myriad Pro"/>
          <w:color w:val="211D1E"/>
          <w:sz w:val="28"/>
          <w:szCs w:val="28"/>
          <w:vertAlign w:val="subscript"/>
        </w:rPr>
        <w:t xml:space="preserve"> </w:t>
      </w:r>
      <w:r w:rsidRPr="002530C9">
        <w:rPr>
          <w:rFonts w:ascii="Myriad Pro" w:hAnsi="Myriad Pro" w:cs="Myriad Pro"/>
          <w:color w:val="211D1E"/>
          <w:sz w:val="28"/>
          <w:szCs w:val="28"/>
        </w:rPr>
        <w:t>E</w:t>
      </w:r>
      <w:r w:rsidRPr="002530C9">
        <w:rPr>
          <w:rFonts w:ascii="Myriad Pro" w:hAnsi="Myriad Pro" w:cs="Myriad Pro"/>
          <w:color w:val="211D1E"/>
          <w:sz w:val="28"/>
          <w:szCs w:val="28"/>
          <w:vertAlign w:val="subscript"/>
        </w:rPr>
        <w:t>A</w:t>
      </w:r>
      <w:r w:rsidRPr="002530C9">
        <w:rPr>
          <w:rFonts w:ascii="Myriad Pro" w:hAnsi="Myriad Pro" w:cs="Myriad Pro"/>
          <w:color w:val="211D1E"/>
          <w:sz w:val="28"/>
          <w:szCs w:val="28"/>
        </w:rPr>
        <w:t xml:space="preserve"> E</w:t>
      </w:r>
      <w:r w:rsidRPr="002530C9">
        <w:rPr>
          <w:rFonts w:ascii="Myriad Pro" w:hAnsi="Myriad Pro" w:cs="Myriad Pro"/>
          <w:color w:val="211D1E"/>
          <w:sz w:val="28"/>
          <w:szCs w:val="28"/>
          <w:vertAlign w:val="subscript"/>
        </w:rPr>
        <w:t>L</w:t>
      </w:r>
      <w:r w:rsidRPr="002530C9">
        <w:rPr>
          <w:rFonts w:ascii="Myriad Pro" w:hAnsi="Myriad Pro" w:cs="Myriad Pro"/>
          <w:color w:val="211D1E"/>
          <w:sz w:val="28"/>
          <w:szCs w:val="28"/>
        </w:rPr>
        <w:t xml:space="preserve"> </w:t>
      </w:r>
      <w:proofErr w:type="spellStart"/>
      <w:r w:rsidRPr="002530C9">
        <w:rPr>
          <w:rFonts w:ascii="Myriad Pro" w:hAnsi="Myriad Pro" w:cs="Myriad Pro"/>
          <w:color w:val="211D1E"/>
          <w:sz w:val="28"/>
          <w:szCs w:val="28"/>
        </w:rPr>
        <w:t>E</w:t>
      </w:r>
      <w:r w:rsidRPr="002530C9">
        <w:rPr>
          <w:rFonts w:ascii="Myriad Pro" w:hAnsi="Myriad Pro" w:cs="Myriad Pro"/>
          <w:color w:val="211D1E"/>
          <w:sz w:val="28"/>
          <w:szCs w:val="28"/>
          <w:vertAlign w:val="subscript"/>
        </w:rPr>
        <w:t>g</w:t>
      </w:r>
      <w:proofErr w:type="spellEnd"/>
      <w:r w:rsidRPr="002530C9">
        <w:rPr>
          <w:rFonts w:ascii="Myriad Pro" w:hAnsi="Myriad Pro" w:cs="Myriad Pro"/>
          <w:color w:val="211D1E"/>
          <w:sz w:val="28"/>
          <w:szCs w:val="28"/>
        </w:rPr>
        <w:t xml:space="preserve"> E</w:t>
      </w:r>
      <w:r w:rsidRPr="002530C9">
        <w:rPr>
          <w:rFonts w:ascii="Myriad Pro" w:hAnsi="Myriad Pro" w:cs="Myriad Pro"/>
          <w:color w:val="211D1E"/>
          <w:sz w:val="28"/>
          <w:szCs w:val="28"/>
          <w:vertAlign w:val="subscript"/>
        </w:rPr>
        <w:t>d</w:t>
      </w:r>
      <w:r w:rsidRPr="002530C9">
        <w:rPr>
          <w:rFonts w:ascii="Myriad Pro" w:hAnsi="Myriad Pro" w:cs="Myriad Pro"/>
          <w:color w:val="211D1E"/>
          <w:sz w:val="28"/>
          <w:szCs w:val="28"/>
        </w:rPr>
        <w:t xml:space="preserve"> </w:t>
      </w:r>
      <w:r w:rsidRPr="002530C9">
        <w:rPr>
          <w:rFonts w:ascii="Myriad Pro" w:hAnsi="Myriad Pro" w:cs="Myriad Pro"/>
          <w:color w:val="000000"/>
          <w:sz w:val="28"/>
          <w:szCs w:val="28"/>
        </w:rPr>
        <w:t>(5)</w:t>
      </w:r>
    </w:p>
    <w:p w:rsidR="002530C9" w:rsidRPr="002530C9" w:rsidRDefault="002530C9" w:rsidP="002530C9">
      <w:pPr>
        <w:autoSpaceDE w:val="0"/>
        <w:autoSpaceDN w:val="0"/>
        <w:adjustRightInd w:val="0"/>
        <w:spacing w:after="260" w:line="221" w:lineRule="atLeast"/>
        <w:rPr>
          <w:rFonts w:ascii="Myriad Pro" w:hAnsi="Myriad Pro" w:cs="Myriad Pro"/>
          <w:color w:val="211D1E"/>
        </w:rPr>
      </w:pPr>
      <w:r w:rsidRPr="002530C9">
        <w:rPr>
          <w:rFonts w:ascii="Myriad Pro" w:hAnsi="Myriad Pro" w:cs="Myriad Pro"/>
          <w:color w:val="211D1E"/>
        </w:rPr>
        <w:t xml:space="preserve">The net-to-total area </w:t>
      </w:r>
      <w:proofErr w:type="spellStart"/>
      <w:r w:rsidRPr="002530C9">
        <w:rPr>
          <w:rFonts w:ascii="Myriad Pro" w:hAnsi="Myriad Pro" w:cs="Myriad Pro"/>
          <w:color w:val="211D1E"/>
        </w:rPr>
        <w:t>E</w:t>
      </w:r>
      <w:r w:rsidRPr="002530C9">
        <w:rPr>
          <w:rFonts w:ascii="Myriad Pro" w:hAnsi="Myriad Pro" w:cs="Myriad Pro"/>
          <w:color w:val="211D1E"/>
          <w:sz w:val="12"/>
        </w:rPr>
        <w:t>An</w:t>
      </w:r>
      <w:proofErr w:type="spellEnd"/>
      <w:r w:rsidRPr="002530C9">
        <w:rPr>
          <w:rFonts w:ascii="Myriad Pro" w:hAnsi="Myriad Pro" w:cs="Myriad Pro"/>
          <w:color w:val="211D1E"/>
          <w:sz w:val="12"/>
        </w:rPr>
        <w:t>/</w:t>
      </w:r>
      <w:proofErr w:type="gramStart"/>
      <w:r w:rsidRPr="002530C9">
        <w:rPr>
          <w:rFonts w:ascii="Myriad Pro" w:hAnsi="Myriad Pro" w:cs="Myriad Pro"/>
          <w:color w:val="211D1E"/>
          <w:sz w:val="12"/>
        </w:rPr>
        <w:t>At</w:t>
      </w:r>
      <w:proofErr w:type="gramEnd"/>
      <w:r w:rsidRPr="002530C9">
        <w:rPr>
          <w:rFonts w:ascii="Myriad Pro" w:hAnsi="Myriad Pro" w:cs="Myriad Pro"/>
          <w:color w:val="211D1E"/>
          <w:sz w:val="12"/>
        </w:rPr>
        <w:t xml:space="preserve"> </w:t>
      </w:r>
      <w:r w:rsidRPr="002530C9">
        <w:rPr>
          <w:rFonts w:ascii="Myriad Pro" w:hAnsi="Myriad Pro" w:cs="Myriad Pro"/>
          <w:color w:val="211D1E"/>
        </w:rPr>
        <w:t>ratio is the fraction of the total basin or region area that is suitable for CO</w:t>
      </w:r>
      <w:r w:rsidRPr="002530C9">
        <w:rPr>
          <w:rFonts w:ascii="Myriad Pro" w:hAnsi="Myriad Pro" w:cs="Myriad Pro"/>
          <w:color w:val="211D1E"/>
          <w:sz w:val="12"/>
        </w:rPr>
        <w:t xml:space="preserve">2 </w:t>
      </w:r>
      <w:r w:rsidRPr="002530C9">
        <w:rPr>
          <w:rFonts w:ascii="Myriad Pro" w:hAnsi="Myriad Pro" w:cs="Myriad Pro"/>
          <w:color w:val="211D1E"/>
        </w:rPr>
        <w:t xml:space="preserve">storage. The net-to-gross thickness </w:t>
      </w:r>
      <w:proofErr w:type="spellStart"/>
      <w:r w:rsidRPr="002530C9">
        <w:rPr>
          <w:rFonts w:ascii="Myriad Pro" w:hAnsi="Myriad Pro" w:cs="Myriad Pro"/>
          <w:color w:val="211D1E"/>
        </w:rPr>
        <w:t>E</w:t>
      </w:r>
      <w:r w:rsidRPr="002530C9">
        <w:rPr>
          <w:rFonts w:ascii="Myriad Pro" w:hAnsi="Myriad Pro" w:cs="Myriad Pro"/>
          <w:color w:val="211D1E"/>
          <w:sz w:val="12"/>
        </w:rPr>
        <w:t>hn</w:t>
      </w:r>
      <w:proofErr w:type="spellEnd"/>
      <w:r w:rsidRPr="002530C9">
        <w:rPr>
          <w:rFonts w:ascii="Myriad Pro" w:hAnsi="Myriad Pro" w:cs="Myriad Pro"/>
          <w:color w:val="211D1E"/>
          <w:sz w:val="12"/>
        </w:rPr>
        <w:t xml:space="preserve">/hg </w:t>
      </w:r>
      <w:r w:rsidRPr="002530C9">
        <w:rPr>
          <w:rFonts w:ascii="Myriad Pro" w:hAnsi="Myriad Pro" w:cs="Myriad Pro"/>
          <w:color w:val="211D1E"/>
        </w:rPr>
        <w:t xml:space="preserve">ratio is the fraction of the total geologic unit that meets minimum porosity and permeability requirements for injection. The effective-to-total porosity </w:t>
      </w:r>
      <w:proofErr w:type="spellStart"/>
      <w:r w:rsidRPr="002530C9">
        <w:rPr>
          <w:rFonts w:ascii="Myriad Pro" w:hAnsi="Myriad Pro" w:cs="Myriad Pro"/>
          <w:color w:val="211D1E"/>
        </w:rPr>
        <w:t>E</w:t>
      </w:r>
      <w:r w:rsidR="006C3D3B">
        <w:rPr>
          <w:rFonts w:ascii="Myriad Pro" w:hAnsi="Myriad Pro" w:cs="Myriad Pro"/>
          <w:color w:val="211D1E"/>
          <w:sz w:val="12"/>
        </w:rPr>
        <w:t>Ø</w:t>
      </w:r>
      <w:r w:rsidRPr="002530C9">
        <w:rPr>
          <w:rFonts w:ascii="Myriad Pro" w:hAnsi="Myriad Pro" w:cs="Myriad Pro"/>
          <w:color w:val="211D1E"/>
          <w:sz w:val="12"/>
        </w:rPr>
        <w:t>e</w:t>
      </w:r>
      <w:proofErr w:type="spellEnd"/>
      <w:r w:rsidRPr="002530C9">
        <w:rPr>
          <w:rFonts w:ascii="Myriad Pro" w:hAnsi="Myriad Pro" w:cs="Myriad Pro"/>
          <w:color w:val="211D1E"/>
          <w:sz w:val="12"/>
        </w:rPr>
        <w:t xml:space="preserve">/ </w:t>
      </w:r>
      <w:proofErr w:type="spellStart"/>
      <w:r w:rsidR="006C3D3B">
        <w:rPr>
          <w:rFonts w:ascii="Myriad Pro" w:hAnsi="Myriad Pro" w:cs="Myriad Pro"/>
          <w:color w:val="211D1E"/>
          <w:sz w:val="12"/>
        </w:rPr>
        <w:t>Ø</w:t>
      </w:r>
      <w:r w:rsidRPr="002530C9">
        <w:rPr>
          <w:rFonts w:ascii="Myriad Pro" w:hAnsi="Myriad Pro" w:cs="Myriad Pro"/>
          <w:color w:val="211D1E"/>
          <w:sz w:val="12"/>
        </w:rPr>
        <w:t>tot</w:t>
      </w:r>
      <w:proofErr w:type="spellEnd"/>
      <w:r w:rsidRPr="002530C9">
        <w:rPr>
          <w:rFonts w:ascii="Myriad Pro" w:hAnsi="Myriad Pro" w:cs="Myriad Pro"/>
          <w:color w:val="211D1E"/>
          <w:sz w:val="12"/>
        </w:rPr>
        <w:t xml:space="preserve"> </w:t>
      </w:r>
      <w:r w:rsidRPr="002530C9">
        <w:rPr>
          <w:rFonts w:ascii="Myriad Pro" w:hAnsi="Myriad Pro" w:cs="Myriad Pro"/>
          <w:color w:val="211D1E"/>
        </w:rPr>
        <w:t xml:space="preserve">ratio is the fraction of total interconnected porosity (Table 4). </w:t>
      </w:r>
    </w:p>
    <w:p w:rsidR="003857BC" w:rsidRPr="003857BC" w:rsidRDefault="002530C9" w:rsidP="003857BC">
      <w:pPr>
        <w:rPr>
          <w:rFonts w:ascii="Myriad Pro" w:hAnsi="Myriad Pro" w:cs="Myriad Pro"/>
          <w:color w:val="211D1E"/>
        </w:rPr>
      </w:pPr>
      <w:r w:rsidRPr="002530C9">
        <w:rPr>
          <w:rFonts w:ascii="Myriad Pro" w:hAnsi="Myriad Pro" w:cs="Myriad Pro"/>
          <w:color w:val="211D1E"/>
        </w:rPr>
        <w:t>The areal displacement (E</w:t>
      </w:r>
      <w:r w:rsidRPr="002530C9">
        <w:rPr>
          <w:rFonts w:ascii="Myriad Pro" w:hAnsi="Myriad Pro" w:cs="Myriad Pro"/>
          <w:color w:val="211D1E"/>
          <w:sz w:val="12"/>
        </w:rPr>
        <w:t>A</w:t>
      </w:r>
      <w:r w:rsidRPr="002530C9">
        <w:rPr>
          <w:rFonts w:ascii="Myriad Pro" w:hAnsi="Myriad Pro" w:cs="Myriad Pro"/>
          <w:color w:val="211D1E"/>
        </w:rPr>
        <w:t>) efficiency is the fraction of planar area surrounding the injection well that CO</w:t>
      </w:r>
      <w:r w:rsidRPr="002530C9">
        <w:rPr>
          <w:rFonts w:ascii="Myriad Pro" w:hAnsi="Myriad Pro" w:cs="Myriad Pro"/>
          <w:color w:val="211D1E"/>
          <w:sz w:val="12"/>
        </w:rPr>
        <w:t xml:space="preserve">2 </w:t>
      </w:r>
      <w:r w:rsidRPr="002530C9">
        <w:rPr>
          <w:rFonts w:ascii="Myriad Pro" w:hAnsi="Myriad Pro" w:cs="Myriad Pro"/>
          <w:color w:val="211D1E"/>
        </w:rPr>
        <w:t>can contact. This term is influenced by areal geologic heterogeneity, such as faults or permeability, and by CO</w:t>
      </w:r>
      <w:r w:rsidRPr="002530C9">
        <w:rPr>
          <w:rFonts w:ascii="Myriad Pro" w:hAnsi="Myriad Pro" w:cs="Myriad Pro"/>
          <w:color w:val="211D1E"/>
          <w:sz w:val="12"/>
        </w:rPr>
        <w:t xml:space="preserve">2 </w:t>
      </w:r>
      <w:r w:rsidRPr="002530C9">
        <w:rPr>
          <w:rFonts w:ascii="Myriad Pro" w:hAnsi="Myriad Pro" w:cs="Myriad Pro"/>
          <w:color w:val="211D1E"/>
        </w:rPr>
        <w:t>mobility (Lake, 1989). The vertical (geologic layering) displacement (E</w:t>
      </w:r>
      <w:r w:rsidRPr="002530C9">
        <w:rPr>
          <w:rFonts w:ascii="Myriad Pro" w:hAnsi="Myriad Pro" w:cs="Myriad Pro"/>
          <w:color w:val="211D1E"/>
          <w:sz w:val="12"/>
        </w:rPr>
        <w:t>L</w:t>
      </w:r>
      <w:r w:rsidRPr="002530C9">
        <w:rPr>
          <w:rFonts w:ascii="Myriad Pro" w:hAnsi="Myriad Pro" w:cs="Myriad Pro"/>
          <w:color w:val="211D1E"/>
        </w:rPr>
        <w:t xml:space="preserve">) efficiency is the fraction of vertical cross section or thickness with the volume defined by the </w:t>
      </w:r>
      <w:r w:rsidRPr="002530C9">
        <w:rPr>
          <w:rFonts w:ascii="Myriad Pro" w:hAnsi="Myriad Pro" w:cs="Myriad Pro"/>
          <w:color w:val="211D1E"/>
        </w:rPr>
        <w:lastRenderedPageBreak/>
        <w:t>area (A) that can be contacted by the CO</w:t>
      </w:r>
      <w:r w:rsidRPr="002530C9">
        <w:rPr>
          <w:rFonts w:ascii="Myriad Pro" w:hAnsi="Myriad Pro" w:cs="Myriad Pro"/>
          <w:color w:val="211D1E"/>
          <w:sz w:val="12"/>
        </w:rPr>
        <w:t xml:space="preserve">2 </w:t>
      </w:r>
      <w:r w:rsidRPr="002530C9">
        <w:rPr>
          <w:rFonts w:ascii="Myriad Pro" w:hAnsi="Myriad Pro" w:cs="Myriad Pro"/>
          <w:color w:val="211D1E"/>
        </w:rPr>
        <w:t>plume from a single well, which can be affected by the aquifer dip and by CO</w:t>
      </w:r>
      <w:r w:rsidRPr="002530C9">
        <w:rPr>
          <w:rFonts w:ascii="Myriad Pro" w:hAnsi="Myriad Pro" w:cs="Myriad Pro"/>
          <w:color w:val="211D1E"/>
          <w:sz w:val="12"/>
        </w:rPr>
        <w:t xml:space="preserve">2 </w:t>
      </w:r>
      <w:r w:rsidRPr="002530C9">
        <w:rPr>
          <w:rFonts w:ascii="Myriad Pro" w:hAnsi="Myriad Pro" w:cs="Myriad Pro"/>
          <w:color w:val="211D1E"/>
        </w:rPr>
        <w:t>buoyancy (Lake, 1989). This term is influenced by variations in porosity and permeability between sub-layers in the same geologic unit. If one zone has higher permeability than other zones, the CO</w:t>
      </w:r>
      <w:r w:rsidRPr="002530C9">
        <w:rPr>
          <w:rFonts w:ascii="Myriad Pro" w:hAnsi="Myriad Pro" w:cs="Myriad Pro"/>
          <w:color w:val="211D1E"/>
          <w:sz w:val="12"/>
        </w:rPr>
        <w:t xml:space="preserve">2 </w:t>
      </w:r>
      <w:r w:rsidRPr="002530C9">
        <w:rPr>
          <w:rFonts w:ascii="Myriad Pro" w:hAnsi="Myriad Pro" w:cs="Myriad Pro"/>
          <w:color w:val="211D1E"/>
        </w:rPr>
        <w:t>will fill this zone quickly and leave the other zones with less or no CO</w:t>
      </w:r>
      <w:r w:rsidRPr="002530C9">
        <w:rPr>
          <w:rFonts w:ascii="Myriad Pro" w:hAnsi="Myriad Pro" w:cs="Myriad Pro"/>
          <w:color w:val="211D1E"/>
          <w:sz w:val="12"/>
        </w:rPr>
        <w:t>2</w:t>
      </w:r>
      <w:r w:rsidRPr="002530C9">
        <w:rPr>
          <w:rFonts w:ascii="Myriad Pro" w:hAnsi="Myriad Pro" w:cs="Myriad Pro"/>
          <w:color w:val="211D1E"/>
        </w:rPr>
        <w:t>. The gravity displacement (</w:t>
      </w:r>
      <w:proofErr w:type="spellStart"/>
      <w:r w:rsidRPr="002530C9">
        <w:rPr>
          <w:rFonts w:ascii="Myriad Pro" w:hAnsi="Myriad Pro" w:cs="Myriad Pro"/>
          <w:color w:val="211D1E"/>
        </w:rPr>
        <w:t>E</w:t>
      </w:r>
      <w:r w:rsidRPr="002530C9">
        <w:rPr>
          <w:rFonts w:ascii="Myriad Pro" w:hAnsi="Myriad Pro" w:cs="Myriad Pro"/>
          <w:color w:val="211D1E"/>
          <w:sz w:val="12"/>
        </w:rPr>
        <w:t>g</w:t>
      </w:r>
      <w:proofErr w:type="spellEnd"/>
      <w:r w:rsidRPr="002530C9">
        <w:rPr>
          <w:rFonts w:ascii="Myriad Pro" w:hAnsi="Myriad Pro" w:cs="Myriad Pro"/>
          <w:color w:val="211D1E"/>
        </w:rPr>
        <w:t>) efficiency is the fraction of net thickness that is contacted by CO</w:t>
      </w:r>
      <w:r w:rsidRPr="002530C9">
        <w:rPr>
          <w:rFonts w:ascii="Myriad Pro" w:hAnsi="Myriad Pro" w:cs="Myriad Pro"/>
          <w:color w:val="211D1E"/>
          <w:sz w:val="12"/>
        </w:rPr>
        <w:t xml:space="preserve">2 </w:t>
      </w:r>
      <w:r w:rsidRPr="002530C9">
        <w:rPr>
          <w:rFonts w:ascii="Myriad Pro" w:hAnsi="Myriad Pro" w:cs="Myriad Pro"/>
          <w:color w:val="211D1E"/>
        </w:rPr>
        <w:t>as a consequence of the density and mobility difference between CO</w:t>
      </w:r>
      <w:r w:rsidRPr="002530C9">
        <w:rPr>
          <w:rFonts w:ascii="Myriad Pro" w:hAnsi="Myriad Pro" w:cs="Myriad Pro"/>
          <w:color w:val="211D1E"/>
          <w:sz w:val="12"/>
        </w:rPr>
        <w:t xml:space="preserve">2 </w:t>
      </w:r>
      <w:r w:rsidRPr="002530C9">
        <w:rPr>
          <w:rFonts w:ascii="Myriad Pro" w:hAnsi="Myriad Pro" w:cs="Myriad Pro"/>
          <w:color w:val="211D1E"/>
        </w:rPr>
        <w:t>and in situ water. In other words, 1-E</w:t>
      </w:r>
      <w:r w:rsidRPr="002530C9">
        <w:rPr>
          <w:rFonts w:ascii="Myriad Pro" w:hAnsi="Myriad Pro" w:cs="Myriad Pro"/>
          <w:color w:val="211D1E"/>
          <w:sz w:val="12"/>
        </w:rPr>
        <w:t xml:space="preserve">g </w:t>
      </w:r>
      <w:r w:rsidRPr="002530C9">
        <w:rPr>
          <w:rFonts w:ascii="Myriad Pro" w:hAnsi="Myriad Pro" w:cs="Myriad Pro"/>
          <w:color w:val="211D1E"/>
        </w:rPr>
        <w:t>is the portion of the net thickness not contacted by CO</w:t>
      </w:r>
      <w:r w:rsidRPr="002530C9">
        <w:rPr>
          <w:rFonts w:ascii="Myriad Pro" w:hAnsi="Myriad Pro" w:cs="Myriad Pro"/>
          <w:color w:val="211D1E"/>
          <w:sz w:val="12"/>
        </w:rPr>
        <w:t xml:space="preserve">2 </w:t>
      </w:r>
      <w:r w:rsidRPr="002530C9">
        <w:rPr>
          <w:rFonts w:ascii="Myriad Pro" w:hAnsi="Myriad Pro" w:cs="Myriad Pro"/>
          <w:color w:val="211D1E"/>
        </w:rPr>
        <w:t>because the CO</w:t>
      </w:r>
      <w:r w:rsidRPr="002530C9">
        <w:rPr>
          <w:rFonts w:ascii="Myriad Pro" w:hAnsi="Myriad Pro" w:cs="Myriad Pro"/>
          <w:color w:val="211D1E"/>
          <w:sz w:val="12"/>
        </w:rPr>
        <w:t xml:space="preserve">2 </w:t>
      </w:r>
      <w:r w:rsidRPr="002530C9">
        <w:rPr>
          <w:rFonts w:ascii="Myriad Pro" w:hAnsi="Myriad Pro" w:cs="Myriad Pro"/>
          <w:color w:val="211D1E"/>
        </w:rPr>
        <w:t xml:space="preserve">rises within the geologic </w:t>
      </w:r>
      <w:proofErr w:type="gramStart"/>
      <w:r w:rsidRPr="002530C9">
        <w:rPr>
          <w:rFonts w:ascii="Myriad Pro" w:hAnsi="Myriad Pro" w:cs="Myriad Pro"/>
          <w:color w:val="211D1E"/>
        </w:rPr>
        <w:t>unit.</w:t>
      </w:r>
      <w:proofErr w:type="gramEnd"/>
      <w:r w:rsidRPr="002530C9">
        <w:rPr>
          <w:rFonts w:ascii="Myriad Pro" w:hAnsi="Myriad Pro" w:cs="Myriad Pro"/>
          <w:color w:val="211D1E"/>
        </w:rPr>
        <w:t xml:space="preserve"> The microscopic displacement (E</w:t>
      </w:r>
      <w:r w:rsidRPr="002530C9">
        <w:rPr>
          <w:rFonts w:ascii="Myriad Pro" w:hAnsi="Myriad Pro" w:cs="Myriad Pro"/>
          <w:color w:val="211D1E"/>
          <w:sz w:val="12"/>
        </w:rPr>
        <w:t>d</w:t>
      </w:r>
      <w:r w:rsidRPr="002530C9">
        <w:rPr>
          <w:rFonts w:ascii="Myriad Pro" w:hAnsi="Myriad Pro" w:cs="Myriad Pro"/>
          <w:color w:val="211D1E"/>
        </w:rPr>
        <w:t>) efficiency is the fraction of water-filled pore volume that can be replaced by CO</w:t>
      </w:r>
      <w:r w:rsidRPr="002530C9">
        <w:rPr>
          <w:rFonts w:ascii="Myriad Pro" w:hAnsi="Myriad Pro" w:cs="Myriad Pro"/>
          <w:color w:val="211D1E"/>
          <w:sz w:val="12"/>
        </w:rPr>
        <w:t xml:space="preserve">2 </w:t>
      </w:r>
      <w:r w:rsidRPr="002530C9">
        <w:rPr>
          <w:rFonts w:ascii="Myriad Pro" w:hAnsi="Myriad Pro" w:cs="Myriad Pro"/>
          <w:color w:val="211D1E"/>
        </w:rPr>
        <w:t>(Lake, 1989). This term is directly related to irreducible water saturation in the presence of CO</w:t>
      </w:r>
      <w:r w:rsidRPr="002530C9">
        <w:rPr>
          <w:rFonts w:ascii="Myriad Pro" w:hAnsi="Myriad Pro" w:cs="Myriad Pro"/>
          <w:color w:val="211D1E"/>
          <w:sz w:val="12"/>
        </w:rPr>
        <w:t>2</w:t>
      </w:r>
      <w:r w:rsidRPr="002530C9">
        <w:rPr>
          <w:rFonts w:ascii="Myriad Pro" w:hAnsi="Myriad Pro" w:cs="Myriad Pro"/>
          <w:color w:val="211D1E"/>
        </w:rPr>
        <w:t xml:space="preserve">. For the </w:t>
      </w:r>
      <w:proofErr w:type="spellStart"/>
      <w:r w:rsidRPr="002530C9">
        <w:rPr>
          <w:rFonts w:ascii="Myriad Pro" w:hAnsi="Myriad Pro" w:cs="Myriad Pro"/>
          <w:color w:val="211D1E"/>
        </w:rPr>
        <w:t>areal</w:t>
      </w:r>
      <w:proofErr w:type="spellEnd"/>
      <w:r w:rsidRPr="002530C9">
        <w:rPr>
          <w:rFonts w:ascii="Myriad Pro" w:hAnsi="Myriad Pro" w:cs="Myriad Pro"/>
          <w:color w:val="211D1E"/>
        </w:rPr>
        <w:t>, vertical, and gravity displacement terms, it is assumed that CO</w:t>
      </w:r>
      <w:r w:rsidRPr="002530C9">
        <w:rPr>
          <w:rFonts w:ascii="Myriad Pro" w:hAnsi="Myriad Pro" w:cs="Myriad Pro"/>
          <w:color w:val="211D1E"/>
          <w:sz w:val="12"/>
        </w:rPr>
        <w:t xml:space="preserve">2 </w:t>
      </w:r>
      <w:r w:rsidRPr="002530C9">
        <w:rPr>
          <w:rFonts w:ascii="Myriad Pro" w:hAnsi="Myriad Pro" w:cs="Myriad Pro"/>
          <w:color w:val="211D1E"/>
        </w:rPr>
        <w:t>fully displaces all in situ</w:t>
      </w:r>
      <w:r>
        <w:rPr>
          <w:rFonts w:ascii="Myriad Pro" w:hAnsi="Myriad Pro" w:cs="Myriad Pro"/>
          <w:color w:val="211D1E"/>
        </w:rPr>
        <w:t xml:space="preserve"> </w:t>
      </w:r>
      <w:r w:rsidR="003857BC" w:rsidRPr="003857BC">
        <w:rPr>
          <w:rFonts w:ascii="Myriad Pro" w:hAnsi="Myriad Pro" w:cs="Myriad Pro"/>
          <w:color w:val="211D1E"/>
        </w:rPr>
        <w:t xml:space="preserve">fluids. Since 100 percent displacement of fluid is neither theoretically nor technically feasible, </w:t>
      </w:r>
      <w:proofErr w:type="gramStart"/>
      <w:r w:rsidR="003857BC" w:rsidRPr="003857BC">
        <w:rPr>
          <w:rFonts w:ascii="Myriad Pro" w:hAnsi="Myriad Pro" w:cs="Myriad Pro"/>
          <w:color w:val="211D1E"/>
        </w:rPr>
        <w:t>the microscopic displacement term identifies</w:t>
      </w:r>
      <w:proofErr w:type="gramEnd"/>
      <w:r w:rsidR="003857BC" w:rsidRPr="003857BC">
        <w:rPr>
          <w:rFonts w:ascii="Myriad Pro" w:hAnsi="Myriad Pro" w:cs="Myriad Pro"/>
          <w:color w:val="211D1E"/>
        </w:rPr>
        <w:t xml:space="preserve"> the fraction of pore space unavailable due to immobile in situ fluids (Figures 2 and 3). The displacement terms are shown schematically in Figures 2 and 3 and compiled into Table 4.</w:t>
      </w:r>
    </w:p>
    <w:p w:rsidR="002530C9" w:rsidRPr="00917689" w:rsidRDefault="003857BC" w:rsidP="002530C9">
      <w:pPr>
        <w:autoSpaceDE w:val="0"/>
        <w:autoSpaceDN w:val="0"/>
        <w:adjustRightInd w:val="0"/>
        <w:spacing w:after="260" w:line="221" w:lineRule="atLeast"/>
        <w:rPr>
          <w:rFonts w:ascii="Myriad Pro" w:hAnsi="Myriad Pro" w:cs="Myriad Pro"/>
          <w:color w:val="211D1E"/>
        </w:rPr>
      </w:pPr>
      <w:r w:rsidRPr="003857BC">
        <w:rPr>
          <w:rFonts w:ascii="Myriad Pro" w:hAnsi="Myriad Pro" w:cs="Myriad Pro"/>
          <w:color w:val="211D1E"/>
        </w:rPr>
        <w:t xml:space="preserve">Efficiency estimates using Monte Carlo sampling are based on statistical properties, such as mean values, standard deviation, ranges, and distributions, that describe geologic and displacement parameters. Little information is known regarding the statistical characteristics of saline formations because geologic parameters and formations are not well characterized (Bachu et al., 2007; </w:t>
      </w:r>
      <w:proofErr w:type="spellStart"/>
      <w:r w:rsidRPr="003857BC">
        <w:rPr>
          <w:rFonts w:ascii="Myriad Pro" w:hAnsi="Myriad Pro" w:cs="Myriad Pro"/>
          <w:color w:val="211D1E"/>
        </w:rPr>
        <w:t>Burruss</w:t>
      </w:r>
      <w:proofErr w:type="spellEnd"/>
      <w:r w:rsidRPr="003857BC">
        <w:rPr>
          <w:rFonts w:ascii="Myriad Pro" w:hAnsi="Myriad Pro" w:cs="Myriad Pro"/>
          <w:color w:val="211D1E"/>
        </w:rPr>
        <w:t xml:space="preserve"> et al., 2009; 2006, 2008, 2010b; Doughty and </w:t>
      </w:r>
      <w:proofErr w:type="spellStart"/>
      <w:r w:rsidRPr="003857BC">
        <w:rPr>
          <w:rFonts w:ascii="Myriad Pro" w:hAnsi="Myriad Pro" w:cs="Myriad Pro"/>
          <w:color w:val="211D1E"/>
        </w:rPr>
        <w:t>Pruess</w:t>
      </w:r>
      <w:proofErr w:type="spellEnd"/>
      <w:r w:rsidRPr="003857BC">
        <w:rPr>
          <w:rFonts w:ascii="Myriad Pro" w:hAnsi="Myriad Pro" w:cs="Myriad Pro"/>
          <w:color w:val="211D1E"/>
        </w:rPr>
        <w:t xml:space="preserve">, 2004; </w:t>
      </w:r>
      <w:proofErr w:type="spellStart"/>
      <w:r w:rsidRPr="003857BC">
        <w:rPr>
          <w:rFonts w:ascii="Myriad Pro" w:hAnsi="Myriad Pro" w:cs="Myriad Pro"/>
          <w:color w:val="211D1E"/>
        </w:rPr>
        <w:t>Gorecki</w:t>
      </w:r>
      <w:proofErr w:type="spellEnd"/>
      <w:r w:rsidRPr="003857BC">
        <w:rPr>
          <w:rFonts w:ascii="Myriad Pro" w:hAnsi="Myriad Pro" w:cs="Myriad Pro"/>
          <w:color w:val="211D1E"/>
        </w:rPr>
        <w:t xml:space="preserve"> et al., 2009a; </w:t>
      </w:r>
      <w:proofErr w:type="spellStart"/>
      <w:r w:rsidRPr="003857BC">
        <w:rPr>
          <w:rFonts w:ascii="Myriad Pro" w:hAnsi="Myriad Pro" w:cs="Myriad Pro"/>
          <w:color w:val="211D1E"/>
        </w:rPr>
        <w:t>Gorecki</w:t>
      </w:r>
      <w:proofErr w:type="spellEnd"/>
      <w:r w:rsidRPr="003857BC">
        <w:rPr>
          <w:rFonts w:ascii="Myriad Pro" w:hAnsi="Myriad Pro" w:cs="Myriad Pro"/>
          <w:color w:val="211D1E"/>
        </w:rPr>
        <w:t xml:space="preserve"> et al., 2009b; </w:t>
      </w:r>
      <w:proofErr w:type="spellStart"/>
      <w:r w:rsidRPr="003857BC">
        <w:rPr>
          <w:rFonts w:ascii="Myriad Pro" w:hAnsi="Myriad Pro" w:cs="Myriad Pro"/>
          <w:color w:val="211D1E"/>
        </w:rPr>
        <w:t>Gorecki</w:t>
      </w:r>
      <w:proofErr w:type="spellEnd"/>
      <w:r w:rsidRPr="003857BC">
        <w:rPr>
          <w:rFonts w:ascii="Myriad Pro" w:hAnsi="Myriad Pro" w:cs="Myriad Pro"/>
          <w:color w:val="211D1E"/>
        </w:rPr>
        <w:t xml:space="preserve"> et al., 2009c; IEA, 2009). Recently, the International</w:t>
      </w:r>
      <w:r w:rsidR="002530C9" w:rsidRPr="002530C9">
        <w:rPr>
          <w:rFonts w:ascii="Myriad Pro" w:hAnsi="Myriad Pro" w:cs="Myriad Pro"/>
          <w:color w:val="211D1E"/>
        </w:rPr>
        <w:t xml:space="preserve"> </w:t>
      </w:r>
      <w:r w:rsidR="002530C9" w:rsidRPr="00917689">
        <w:rPr>
          <w:rFonts w:ascii="Myriad Pro" w:hAnsi="Myriad Pro" w:cs="Myriad Pro"/>
          <w:color w:val="211D1E"/>
        </w:rPr>
        <w:t xml:space="preserve">Energy Agency (IEA [2009]) and </w:t>
      </w:r>
      <w:r w:rsidR="002530C9" w:rsidRPr="00917689">
        <w:rPr>
          <w:rFonts w:ascii="Myriad Pro" w:hAnsi="Myriad Pro" w:cs="Myriad Pro"/>
          <w:color w:val="000000"/>
        </w:rPr>
        <w:t>K</w:t>
      </w:r>
      <w:r w:rsidR="002530C9" w:rsidRPr="00917689">
        <w:rPr>
          <w:rFonts w:ascii="Myriad Pro" w:hAnsi="Myriad Pro" w:cs="Myriad Pro"/>
          <w:color w:val="211D1E"/>
        </w:rPr>
        <w:t>opp et al. (2009a,b) used field data from oil and gas reservoirs and numerical simulations employing relative-permeability data for CO</w:t>
      </w:r>
      <w:r w:rsidR="002530C9" w:rsidRPr="00917689">
        <w:rPr>
          <w:rFonts w:ascii="Myriad Pro" w:hAnsi="Myriad Pro" w:cs="Myriad Pro"/>
          <w:color w:val="211D1E"/>
          <w:sz w:val="12"/>
        </w:rPr>
        <w:t>2</w:t>
      </w:r>
      <w:r w:rsidR="002530C9" w:rsidRPr="00917689">
        <w:rPr>
          <w:rFonts w:ascii="Myriad Pro" w:hAnsi="Myriad Pro" w:cs="Myriad Pro"/>
          <w:color w:val="211D1E"/>
        </w:rPr>
        <w:t>-brine systems measured in the laboratory (</w:t>
      </w:r>
      <w:proofErr w:type="spellStart"/>
      <w:r w:rsidR="002530C9" w:rsidRPr="00917689">
        <w:rPr>
          <w:rFonts w:ascii="Myriad Pro" w:hAnsi="Myriad Pro" w:cs="Myriad Pro"/>
          <w:color w:val="211D1E"/>
        </w:rPr>
        <w:t>Bennion</w:t>
      </w:r>
      <w:proofErr w:type="spellEnd"/>
      <w:r w:rsidR="002530C9" w:rsidRPr="00917689">
        <w:rPr>
          <w:rFonts w:ascii="Myriad Pro" w:hAnsi="Myriad Pro" w:cs="Myriad Pro"/>
          <w:color w:val="211D1E"/>
        </w:rPr>
        <w:t xml:space="preserve"> and Bachu, 2008) to predict appropriate ranges for geologic and displacement parameters for saline formations as a function of lithology. A similar report is also available from </w:t>
      </w:r>
      <w:proofErr w:type="spellStart"/>
      <w:r w:rsidR="002530C9" w:rsidRPr="00917689">
        <w:rPr>
          <w:rFonts w:ascii="Myriad Pro" w:hAnsi="Myriad Pro" w:cs="Myriad Pro"/>
          <w:color w:val="211D1E"/>
        </w:rPr>
        <w:t>Gorecki</w:t>
      </w:r>
      <w:proofErr w:type="spellEnd"/>
      <w:r w:rsidR="002530C9" w:rsidRPr="00917689">
        <w:rPr>
          <w:rFonts w:ascii="Myriad Pro" w:hAnsi="Myriad Pro" w:cs="Myriad Pro"/>
          <w:color w:val="211D1E"/>
        </w:rPr>
        <w:t xml:space="preserve"> et al. (2009a; 2009b; 2009c). It was assumed that saline formations do not differ fundamentally from oil and gas reservoirs (IEA, 2009; </w:t>
      </w:r>
      <w:r w:rsidR="002530C9" w:rsidRPr="00917689">
        <w:rPr>
          <w:rFonts w:ascii="Myriad Pro" w:hAnsi="Myriad Pro" w:cs="Myriad Pro"/>
          <w:color w:val="000000"/>
        </w:rPr>
        <w:t>K</w:t>
      </w:r>
      <w:r w:rsidR="002530C9" w:rsidRPr="00917689">
        <w:rPr>
          <w:rFonts w:ascii="Myriad Pro" w:hAnsi="Myriad Pro" w:cs="Myriad Pro"/>
          <w:color w:val="211D1E"/>
        </w:rPr>
        <w:t>opp et al., 2009a). Table 4 includes values reported by IEA (2009) of the P</w:t>
      </w:r>
      <w:r w:rsidR="002530C9" w:rsidRPr="00917689">
        <w:rPr>
          <w:rFonts w:ascii="Myriad Pro" w:hAnsi="Myriad Pro" w:cs="Myriad Pro"/>
          <w:color w:val="211D1E"/>
          <w:sz w:val="12"/>
        </w:rPr>
        <w:t xml:space="preserve">10 </w:t>
      </w:r>
      <w:r w:rsidR="002530C9" w:rsidRPr="00917689">
        <w:rPr>
          <w:rFonts w:ascii="Myriad Pro" w:hAnsi="Myriad Pro" w:cs="Myriad Pro"/>
          <w:color w:val="211D1E"/>
        </w:rPr>
        <w:t>and P</w:t>
      </w:r>
      <w:r w:rsidR="002530C9" w:rsidRPr="00917689">
        <w:rPr>
          <w:rFonts w:ascii="Myriad Pro" w:hAnsi="Myriad Pro" w:cs="Myriad Pro"/>
          <w:color w:val="211D1E"/>
          <w:sz w:val="12"/>
        </w:rPr>
        <w:t xml:space="preserve">90 </w:t>
      </w:r>
      <w:r w:rsidR="002530C9" w:rsidRPr="00917689">
        <w:rPr>
          <w:rFonts w:ascii="Myriad Pro" w:hAnsi="Myriad Pro" w:cs="Myriad Pro"/>
          <w:color w:val="211D1E"/>
        </w:rPr>
        <w:t xml:space="preserve">ranges of geologic and displacement parameters for </w:t>
      </w:r>
      <w:proofErr w:type="spellStart"/>
      <w:r w:rsidR="002530C9" w:rsidRPr="00917689">
        <w:rPr>
          <w:rFonts w:ascii="Myriad Pro" w:hAnsi="Myriad Pro" w:cs="Myriad Pro"/>
          <w:color w:val="211D1E"/>
        </w:rPr>
        <w:t>clastics</w:t>
      </w:r>
      <w:proofErr w:type="spellEnd"/>
      <w:r w:rsidR="002530C9" w:rsidRPr="00917689">
        <w:rPr>
          <w:rFonts w:ascii="Myriad Pro" w:hAnsi="Myriad Pro" w:cs="Myriad Pro"/>
          <w:color w:val="211D1E"/>
        </w:rPr>
        <w:t>, dolomite, and limestone lithologies for saline formations.</w:t>
      </w:r>
      <w:r w:rsidR="002530C9" w:rsidRPr="00917689">
        <w:rPr>
          <w:rFonts w:ascii="Myriad Pro" w:hAnsi="Myriad Pro" w:cs="Myriad Pro"/>
          <w:color w:val="211D1E"/>
          <w:sz w:val="12"/>
        </w:rPr>
        <w:t xml:space="preserve">2 </w:t>
      </w:r>
      <w:r w:rsidR="002530C9" w:rsidRPr="00917689">
        <w:rPr>
          <w:rFonts w:ascii="Myriad Pro" w:hAnsi="Myriad Pro" w:cs="Myriad Pro"/>
          <w:color w:val="211D1E"/>
        </w:rPr>
        <w:t>The P</w:t>
      </w:r>
      <w:r w:rsidR="002530C9" w:rsidRPr="00917689">
        <w:rPr>
          <w:rFonts w:ascii="Myriad Pro" w:hAnsi="Myriad Pro" w:cs="Myriad Pro"/>
          <w:color w:val="211D1E"/>
          <w:sz w:val="12"/>
        </w:rPr>
        <w:t xml:space="preserve">10 </w:t>
      </w:r>
      <w:r w:rsidR="002530C9" w:rsidRPr="00917689">
        <w:rPr>
          <w:rFonts w:ascii="Myriad Pro" w:hAnsi="Myriad Pro" w:cs="Myriad Pro"/>
          <w:color w:val="211D1E"/>
        </w:rPr>
        <w:t>notation reflects that there is a 10 percent probability that the value is less than the P</w:t>
      </w:r>
      <w:r w:rsidR="002530C9" w:rsidRPr="00917689">
        <w:rPr>
          <w:rFonts w:ascii="Myriad Pro" w:hAnsi="Myriad Pro" w:cs="Myriad Pro"/>
          <w:color w:val="211D1E"/>
          <w:sz w:val="12"/>
        </w:rPr>
        <w:t xml:space="preserve">10 </w:t>
      </w:r>
      <w:r w:rsidR="002530C9" w:rsidRPr="00917689">
        <w:rPr>
          <w:rFonts w:ascii="Myriad Pro" w:hAnsi="Myriad Pro" w:cs="Myriad Pro"/>
          <w:color w:val="211D1E"/>
        </w:rPr>
        <w:t>value, and the P</w:t>
      </w:r>
      <w:r w:rsidR="002530C9" w:rsidRPr="00917689">
        <w:rPr>
          <w:rFonts w:ascii="Myriad Pro" w:hAnsi="Myriad Pro" w:cs="Myriad Pro"/>
          <w:color w:val="211D1E"/>
          <w:sz w:val="12"/>
        </w:rPr>
        <w:t xml:space="preserve">90 </w:t>
      </w:r>
      <w:r w:rsidR="002530C9" w:rsidRPr="00917689">
        <w:rPr>
          <w:rFonts w:ascii="Myriad Pro" w:hAnsi="Myriad Pro" w:cs="Myriad Pro"/>
          <w:color w:val="211D1E"/>
        </w:rPr>
        <w:t>notation reflects that there is a 90 percent probability that the value is less than the P</w:t>
      </w:r>
      <w:r w:rsidR="002530C9" w:rsidRPr="00917689">
        <w:rPr>
          <w:rFonts w:ascii="Myriad Pro" w:hAnsi="Myriad Pro" w:cs="Myriad Pro"/>
          <w:color w:val="211D1E"/>
          <w:sz w:val="12"/>
        </w:rPr>
        <w:t xml:space="preserve">90 </w:t>
      </w:r>
      <w:r w:rsidR="002530C9" w:rsidRPr="00917689">
        <w:rPr>
          <w:rFonts w:ascii="Myriad Pro" w:hAnsi="Myriad Pro" w:cs="Myriad Pro"/>
          <w:color w:val="211D1E"/>
        </w:rPr>
        <w:t>value. Because of the difficulty in separating the E</w:t>
      </w:r>
      <w:r w:rsidR="002530C9" w:rsidRPr="00917689">
        <w:rPr>
          <w:rFonts w:ascii="Myriad Pro" w:hAnsi="Myriad Pro" w:cs="Myriad Pro"/>
          <w:color w:val="211D1E"/>
          <w:sz w:val="12"/>
        </w:rPr>
        <w:t>A</w:t>
      </w:r>
      <w:r w:rsidR="002530C9" w:rsidRPr="00917689">
        <w:rPr>
          <w:rFonts w:ascii="Myriad Pro" w:hAnsi="Myriad Pro" w:cs="Myriad Pro"/>
          <w:color w:val="211D1E"/>
        </w:rPr>
        <w:t>, E</w:t>
      </w:r>
      <w:r w:rsidR="002530C9" w:rsidRPr="00917689">
        <w:rPr>
          <w:rFonts w:ascii="Myriad Pro" w:hAnsi="Myriad Pro" w:cs="Myriad Pro"/>
          <w:color w:val="211D1E"/>
          <w:sz w:val="12"/>
        </w:rPr>
        <w:t>L</w:t>
      </w:r>
      <w:r w:rsidR="002530C9" w:rsidRPr="00917689">
        <w:rPr>
          <w:rFonts w:ascii="Myriad Pro" w:hAnsi="Myriad Pro" w:cs="Myriad Pro"/>
          <w:color w:val="211D1E"/>
        </w:rPr>
        <w:t xml:space="preserve">, and </w:t>
      </w:r>
      <w:proofErr w:type="spellStart"/>
      <w:r w:rsidR="002530C9" w:rsidRPr="00917689">
        <w:rPr>
          <w:rFonts w:ascii="Myriad Pro" w:hAnsi="Myriad Pro" w:cs="Myriad Pro"/>
          <w:color w:val="211D1E"/>
        </w:rPr>
        <w:t>E</w:t>
      </w:r>
      <w:r w:rsidR="002530C9" w:rsidRPr="00917689">
        <w:rPr>
          <w:rFonts w:ascii="Myriad Pro" w:hAnsi="Myriad Pro" w:cs="Myriad Pro"/>
          <w:color w:val="211D1E"/>
          <w:sz w:val="12"/>
        </w:rPr>
        <w:t>g</w:t>
      </w:r>
      <w:proofErr w:type="spellEnd"/>
      <w:r w:rsidR="002530C9" w:rsidRPr="00917689">
        <w:rPr>
          <w:rFonts w:ascii="Myriad Pro" w:hAnsi="Myriad Pro" w:cs="Myriad Pro"/>
          <w:color w:val="211D1E"/>
          <w:sz w:val="12"/>
        </w:rPr>
        <w:t xml:space="preserve"> </w:t>
      </w:r>
      <w:r w:rsidR="002530C9" w:rsidRPr="00917689">
        <w:rPr>
          <w:rFonts w:ascii="Myriad Pro" w:hAnsi="Myriad Pro" w:cs="Myriad Pro"/>
          <w:color w:val="211D1E"/>
        </w:rPr>
        <w:t xml:space="preserve">displacement terms shown in </w:t>
      </w:r>
      <w:proofErr w:type="spellStart"/>
      <w:r w:rsidR="002530C9" w:rsidRPr="00917689">
        <w:rPr>
          <w:rFonts w:ascii="Myriad Pro" w:hAnsi="Myriad Pro" w:cs="Myriad Pro"/>
          <w:color w:val="211D1E"/>
        </w:rPr>
        <w:t>eq</w:t>
      </w:r>
      <w:proofErr w:type="spellEnd"/>
      <w:r w:rsidR="002530C9" w:rsidRPr="00917689">
        <w:rPr>
          <w:rFonts w:ascii="Myriad Pro" w:hAnsi="Myriad Pro" w:cs="Myriad Pro"/>
          <w:color w:val="211D1E"/>
        </w:rPr>
        <w:t xml:space="preserve"> 5 in a heterogeneous scenario, these terms were combined by IEA (2009) into a single volumetric displacement term, E</w:t>
      </w:r>
      <w:r w:rsidR="002530C9" w:rsidRPr="00917689">
        <w:rPr>
          <w:rFonts w:ascii="Myriad Pro" w:hAnsi="Myriad Pro" w:cs="Myriad Pro"/>
          <w:color w:val="211D1E"/>
          <w:sz w:val="12"/>
        </w:rPr>
        <w:t>V</w:t>
      </w:r>
      <w:r w:rsidR="002530C9" w:rsidRPr="00917689">
        <w:rPr>
          <w:rFonts w:ascii="Myriad Pro" w:hAnsi="Myriad Pro" w:cs="Myriad Pro"/>
          <w:color w:val="211D1E"/>
        </w:rPr>
        <w:t xml:space="preserve">. </w:t>
      </w:r>
    </w:p>
    <w:p w:rsidR="003857BC" w:rsidRDefault="003857BC" w:rsidP="003857BC">
      <w:pPr>
        <w:rPr>
          <w:rFonts w:ascii="Myriad Pro" w:hAnsi="Myriad Pro" w:cs="Myriad Pro"/>
          <w:color w:val="211D1E"/>
        </w:rPr>
      </w:pPr>
    </w:p>
    <w:p w:rsidR="003857BC" w:rsidRDefault="003857BC" w:rsidP="003857BC">
      <w:r>
        <w:rPr>
          <w:noProof/>
        </w:rPr>
        <w:lastRenderedPageBreak/>
        <w:drawing>
          <wp:inline distT="0" distB="0" distL="0" distR="0">
            <wp:extent cx="5731360" cy="5810250"/>
            <wp:effectExtent l="19050" t="0" r="26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62660" t="36516" r="24146" b="20275"/>
                    <a:stretch>
                      <a:fillRect/>
                    </a:stretch>
                  </pic:blipFill>
                  <pic:spPr bwMode="auto">
                    <a:xfrm>
                      <a:off x="0" y="0"/>
                      <a:ext cx="5733220" cy="5812135"/>
                    </a:xfrm>
                    <a:prstGeom prst="rect">
                      <a:avLst/>
                    </a:prstGeom>
                    <a:noFill/>
                    <a:ln w="9525">
                      <a:noFill/>
                      <a:miter lim="800000"/>
                      <a:headEnd/>
                      <a:tailEnd/>
                    </a:ln>
                  </pic:spPr>
                </pic:pic>
              </a:graphicData>
            </a:graphic>
          </wp:inline>
        </w:drawing>
      </w:r>
    </w:p>
    <w:p w:rsidR="003857BC" w:rsidRDefault="003857BC" w:rsidP="003857BC"/>
    <w:p w:rsidR="00917689" w:rsidRDefault="00917689" w:rsidP="003857BC">
      <w:r>
        <w:rPr>
          <w:noProof/>
        </w:rPr>
        <w:lastRenderedPageBreak/>
        <w:drawing>
          <wp:inline distT="0" distB="0" distL="0" distR="0">
            <wp:extent cx="2600325" cy="2585634"/>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601040" cy="2586345"/>
                    </a:xfrm>
                    <a:prstGeom prst="rect">
                      <a:avLst/>
                    </a:prstGeom>
                    <a:noFill/>
                    <a:ln w="9525">
                      <a:noFill/>
                      <a:miter lim="800000"/>
                      <a:headEnd/>
                      <a:tailEnd/>
                    </a:ln>
                  </pic:spPr>
                </pic:pic>
              </a:graphicData>
            </a:graphic>
          </wp:inline>
        </w:drawing>
      </w:r>
    </w:p>
    <w:p w:rsidR="00917689" w:rsidRPr="00917689" w:rsidRDefault="00917689" w:rsidP="003857BC">
      <w:pPr>
        <w:rPr>
          <w:i/>
          <w:sz w:val="20"/>
          <w:szCs w:val="20"/>
        </w:rPr>
      </w:pPr>
      <w:r w:rsidRPr="00917689">
        <w:rPr>
          <w:i/>
          <w:sz w:val="20"/>
          <w:szCs w:val="20"/>
        </w:rPr>
        <w:t xml:space="preserve">Figure 2: Top-view of injection well and plume area. The area within the irregular shape inside the circle is the </w:t>
      </w:r>
      <w:proofErr w:type="spellStart"/>
      <w:r w:rsidRPr="00917689">
        <w:rPr>
          <w:i/>
          <w:sz w:val="20"/>
          <w:szCs w:val="20"/>
        </w:rPr>
        <w:t>areal</w:t>
      </w:r>
      <w:proofErr w:type="spellEnd"/>
      <w:r w:rsidRPr="00917689">
        <w:rPr>
          <w:i/>
          <w:sz w:val="20"/>
          <w:szCs w:val="20"/>
        </w:rPr>
        <w:t xml:space="preserve"> view of the 3-dimensional CO2 plume (A). The area inside the larger circle (B) is the accessible pore volume for areal displacement. The areal displacement term, EA = net area contacted by CO2 (A) / Total area (B).</w:t>
      </w:r>
    </w:p>
    <w:p w:rsidR="00917689" w:rsidRDefault="00917689" w:rsidP="003857BC">
      <w:r>
        <w:rPr>
          <w:noProof/>
        </w:rPr>
        <w:drawing>
          <wp:inline distT="0" distB="0" distL="0" distR="0">
            <wp:extent cx="2914650" cy="2855289"/>
            <wp:effectExtent l="1905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2914650" cy="2855289"/>
                    </a:xfrm>
                    <a:prstGeom prst="rect">
                      <a:avLst/>
                    </a:prstGeom>
                    <a:noFill/>
                    <a:ln w="9525">
                      <a:noFill/>
                      <a:miter lim="800000"/>
                      <a:headEnd/>
                      <a:tailEnd/>
                    </a:ln>
                  </pic:spPr>
                </pic:pic>
              </a:graphicData>
            </a:graphic>
          </wp:inline>
        </w:drawing>
      </w:r>
    </w:p>
    <w:p w:rsidR="00917689" w:rsidRPr="00917689" w:rsidRDefault="00917689" w:rsidP="003857BC">
      <w:pPr>
        <w:rPr>
          <w:i/>
          <w:sz w:val="20"/>
          <w:szCs w:val="20"/>
        </w:rPr>
      </w:pPr>
      <w:r w:rsidRPr="00917689">
        <w:rPr>
          <w:i/>
          <w:sz w:val="20"/>
          <w:szCs w:val="20"/>
        </w:rPr>
        <w:t xml:space="preserve">Figure 3: Side view of injection well and plume area. The outer vertical dotted lines are defined by the outer areal circle (Depicted by B in Figure 2). The “plume” area enclosed within each interval that is bound by vertical dashed lines represents the numerator of the EL term (area enclosed within C); the denominator is the entire space outlined by the dotted line (area enclosed within D). Within the area bound by the dashed lines, the lower portion is not contacted due to gravity (area depicted by E) and is removed by the </w:t>
      </w:r>
      <w:proofErr w:type="spellStart"/>
      <w:r w:rsidRPr="00917689">
        <w:rPr>
          <w:i/>
          <w:sz w:val="20"/>
          <w:szCs w:val="20"/>
        </w:rPr>
        <w:t>Eg</w:t>
      </w:r>
      <w:proofErr w:type="spellEnd"/>
      <w:r w:rsidRPr="00917689">
        <w:rPr>
          <w:i/>
          <w:sz w:val="20"/>
          <w:szCs w:val="20"/>
        </w:rPr>
        <w:t xml:space="preserve"> term. The Ed term then defines the CO2 displacement efficiency in the plume region.</w:t>
      </w:r>
    </w:p>
    <w:p w:rsidR="00917689" w:rsidRDefault="00917689" w:rsidP="003857BC"/>
    <w:p w:rsidR="00917689" w:rsidRPr="00917689" w:rsidRDefault="00917689" w:rsidP="00917689">
      <w:pPr>
        <w:autoSpaceDE w:val="0"/>
        <w:autoSpaceDN w:val="0"/>
        <w:adjustRightInd w:val="0"/>
        <w:spacing w:after="260" w:line="221" w:lineRule="atLeast"/>
        <w:rPr>
          <w:rFonts w:ascii="Myriad Pro" w:hAnsi="Myriad Pro" w:cs="Myriad Pro"/>
          <w:color w:val="211D1E"/>
        </w:rPr>
      </w:pPr>
      <w:r w:rsidRPr="00917689">
        <w:rPr>
          <w:rFonts w:ascii="Myriad Pro" w:hAnsi="Myriad Pro" w:cs="Myriad Pro"/>
          <w:color w:val="211D1E"/>
        </w:rPr>
        <w:lastRenderedPageBreak/>
        <w:t>In this methodology, efficiency, as estimated by Monte Carlo sampling, for saline formations was based directly on the P</w:t>
      </w:r>
      <w:r w:rsidRPr="00917689">
        <w:rPr>
          <w:rFonts w:ascii="Myriad Pro" w:hAnsi="Myriad Pro" w:cs="Myriad Pro"/>
          <w:color w:val="211D1E"/>
          <w:sz w:val="12"/>
        </w:rPr>
        <w:t xml:space="preserve">10 </w:t>
      </w:r>
      <w:r w:rsidRPr="00917689">
        <w:rPr>
          <w:rFonts w:ascii="Myriad Pro" w:hAnsi="Myriad Pro" w:cs="Myriad Pro"/>
          <w:color w:val="211D1E"/>
        </w:rPr>
        <w:t>and P</w:t>
      </w:r>
      <w:r w:rsidRPr="00917689">
        <w:rPr>
          <w:rFonts w:ascii="Myriad Pro" w:hAnsi="Myriad Pro" w:cs="Myriad Pro"/>
          <w:color w:val="211D1E"/>
          <w:sz w:val="12"/>
        </w:rPr>
        <w:t xml:space="preserve">90 </w:t>
      </w:r>
      <w:r w:rsidRPr="00917689">
        <w:rPr>
          <w:rFonts w:ascii="Myriad Pro" w:hAnsi="Myriad Pro" w:cs="Myriad Pro"/>
          <w:color w:val="211D1E"/>
        </w:rPr>
        <w:t xml:space="preserve">ranges for net-to-gross thickness </w:t>
      </w:r>
      <w:proofErr w:type="spellStart"/>
      <w:r w:rsidRPr="00917689">
        <w:rPr>
          <w:rFonts w:ascii="Myriad Pro" w:hAnsi="Myriad Pro" w:cs="Myriad Pro"/>
          <w:color w:val="211D1E"/>
        </w:rPr>
        <w:t>E</w:t>
      </w:r>
      <w:r w:rsidRPr="00917689">
        <w:rPr>
          <w:rFonts w:ascii="Myriad Pro" w:hAnsi="Myriad Pro" w:cs="Myriad Pro"/>
          <w:color w:val="211D1E"/>
          <w:sz w:val="12"/>
        </w:rPr>
        <w:t>hn</w:t>
      </w:r>
      <w:proofErr w:type="spellEnd"/>
      <w:r w:rsidRPr="00917689">
        <w:rPr>
          <w:rFonts w:ascii="Myriad Pro" w:hAnsi="Myriad Pro" w:cs="Myriad Pro"/>
          <w:color w:val="211D1E"/>
          <w:sz w:val="12"/>
        </w:rPr>
        <w:t>/hg</w:t>
      </w:r>
      <w:r w:rsidRPr="00917689">
        <w:rPr>
          <w:rFonts w:ascii="Myriad Pro" w:hAnsi="Myriad Pro" w:cs="Myriad Pro"/>
          <w:color w:val="211D1E"/>
        </w:rPr>
        <w:t xml:space="preserve">, effective-to-total porosity </w:t>
      </w:r>
      <w:proofErr w:type="spellStart"/>
      <w:r w:rsidRPr="00917689">
        <w:rPr>
          <w:rFonts w:ascii="Myriad Pro" w:hAnsi="Myriad Pro" w:cs="Myriad Pro"/>
          <w:color w:val="211D1E"/>
        </w:rPr>
        <w:t>E</w:t>
      </w:r>
      <w:r w:rsidRPr="00917689">
        <w:rPr>
          <w:rFonts w:ascii="Myriad Pro" w:hAnsi="Myriad Pro" w:cs="Myriad Pro"/>
          <w:color w:val="211D1E"/>
          <w:sz w:val="12"/>
        </w:rPr>
        <w:t>φe</w:t>
      </w:r>
      <w:proofErr w:type="spellEnd"/>
      <w:r w:rsidRPr="00917689">
        <w:rPr>
          <w:rFonts w:ascii="Myriad Pro" w:hAnsi="Myriad Pro" w:cs="Myriad Pro"/>
          <w:color w:val="211D1E"/>
          <w:sz w:val="12"/>
        </w:rPr>
        <w:t xml:space="preserve">/ </w:t>
      </w:r>
      <w:proofErr w:type="spellStart"/>
      <w:r w:rsidRPr="00917689">
        <w:rPr>
          <w:rFonts w:ascii="Myriad Pro" w:hAnsi="Myriad Pro" w:cs="Myriad Pro"/>
          <w:color w:val="211D1E"/>
          <w:sz w:val="12"/>
        </w:rPr>
        <w:t>φtot</w:t>
      </w:r>
      <w:proofErr w:type="spellEnd"/>
      <w:r w:rsidRPr="00917689">
        <w:rPr>
          <w:rFonts w:ascii="Myriad Pro" w:hAnsi="Myriad Pro" w:cs="Myriad Pro"/>
          <w:color w:val="211D1E"/>
        </w:rPr>
        <w:t>, volumetric displacement (E</w:t>
      </w:r>
      <w:r w:rsidRPr="00917689">
        <w:rPr>
          <w:rFonts w:ascii="Myriad Pro" w:hAnsi="Myriad Pro" w:cs="Myriad Pro"/>
          <w:color w:val="211D1E"/>
          <w:sz w:val="12"/>
        </w:rPr>
        <w:t>V</w:t>
      </w:r>
      <w:r w:rsidRPr="00917689">
        <w:rPr>
          <w:rFonts w:ascii="Myriad Pro" w:hAnsi="Myriad Pro" w:cs="Myriad Pro"/>
          <w:color w:val="211D1E"/>
        </w:rPr>
        <w:t xml:space="preserve">), and </w:t>
      </w:r>
      <w:proofErr w:type="spellStart"/>
      <w:r w:rsidRPr="00917689">
        <w:rPr>
          <w:rFonts w:ascii="Myriad Pro" w:hAnsi="Myriad Pro" w:cs="Myriad Pro"/>
          <w:color w:val="211D1E"/>
        </w:rPr>
        <w:t>microsocopic</w:t>
      </w:r>
      <w:proofErr w:type="spellEnd"/>
      <w:r w:rsidRPr="00917689">
        <w:rPr>
          <w:rFonts w:ascii="Myriad Pro" w:hAnsi="Myriad Pro" w:cs="Myriad Pro"/>
          <w:color w:val="211D1E"/>
        </w:rPr>
        <w:t xml:space="preserve"> displacement (E</w:t>
      </w:r>
      <w:r w:rsidRPr="00917689">
        <w:rPr>
          <w:rFonts w:ascii="Myriad Pro" w:hAnsi="Myriad Pro" w:cs="Myriad Pro"/>
          <w:color w:val="211D1E"/>
          <w:sz w:val="12"/>
        </w:rPr>
        <w:t>d</w:t>
      </w:r>
      <w:r w:rsidRPr="00917689">
        <w:rPr>
          <w:rFonts w:ascii="Myriad Pro" w:hAnsi="Myriad Pro" w:cs="Myriad Pro"/>
          <w:color w:val="211D1E"/>
        </w:rPr>
        <w:t xml:space="preserve">) as reported by IEA (2009) (Table 4). Because no documented data for the area </w:t>
      </w:r>
      <w:proofErr w:type="spellStart"/>
      <w:r w:rsidRPr="00917689">
        <w:rPr>
          <w:rFonts w:ascii="Myriad Pro" w:hAnsi="Myriad Pro" w:cs="Myriad Pro"/>
          <w:color w:val="211D1E"/>
        </w:rPr>
        <w:t>E</w:t>
      </w:r>
      <w:r w:rsidRPr="00917689">
        <w:rPr>
          <w:rFonts w:ascii="Myriad Pro" w:hAnsi="Myriad Pro" w:cs="Myriad Pro"/>
          <w:color w:val="211D1E"/>
          <w:sz w:val="12"/>
        </w:rPr>
        <w:t>An</w:t>
      </w:r>
      <w:proofErr w:type="spellEnd"/>
      <w:r w:rsidRPr="00917689">
        <w:rPr>
          <w:rFonts w:ascii="Myriad Pro" w:hAnsi="Myriad Pro" w:cs="Myriad Pro"/>
          <w:color w:val="211D1E"/>
          <w:sz w:val="12"/>
        </w:rPr>
        <w:t xml:space="preserve">/At </w:t>
      </w:r>
      <w:r w:rsidRPr="00917689">
        <w:rPr>
          <w:rFonts w:ascii="Myriad Pro" w:hAnsi="Myriad Pro" w:cs="Myriad Pro"/>
          <w:color w:val="211D1E"/>
        </w:rPr>
        <w:t>term are available, it was assumed that CO</w:t>
      </w:r>
      <w:r w:rsidRPr="00917689">
        <w:rPr>
          <w:rFonts w:ascii="Myriad Pro" w:hAnsi="Myriad Pro" w:cs="Myriad Pro"/>
          <w:color w:val="211D1E"/>
          <w:sz w:val="12"/>
        </w:rPr>
        <w:t xml:space="preserve">2 </w:t>
      </w:r>
      <w:r w:rsidRPr="00917689">
        <w:rPr>
          <w:rFonts w:ascii="Myriad Pro" w:hAnsi="Myriad Pro" w:cs="Myriad Pro"/>
          <w:color w:val="211D1E"/>
        </w:rPr>
        <w:t xml:space="preserve">will occupy between 20 and 80 percent of the formation for the purposes of these simulations (DOE-NETL, 2006, 2008).The equation, parameters, symbols, ranges, and description used to calculate efficiency for saline formations are summarized by </w:t>
      </w:r>
      <w:proofErr w:type="spellStart"/>
      <w:r w:rsidRPr="00917689">
        <w:rPr>
          <w:rFonts w:ascii="Myriad Pro" w:hAnsi="Myriad Pro" w:cs="Myriad Pro"/>
          <w:color w:val="211D1E"/>
        </w:rPr>
        <w:t>eq</w:t>
      </w:r>
      <w:proofErr w:type="spellEnd"/>
      <w:r w:rsidRPr="00917689">
        <w:rPr>
          <w:rFonts w:ascii="Myriad Pro" w:hAnsi="Myriad Pro" w:cs="Myriad Pro"/>
          <w:color w:val="211D1E"/>
        </w:rPr>
        <w:t xml:space="preserve"> 6 and Table 4. </w:t>
      </w:r>
    </w:p>
    <w:p w:rsidR="00917689" w:rsidRPr="00917689" w:rsidRDefault="00917689" w:rsidP="00917689">
      <w:pPr>
        <w:autoSpaceDE w:val="0"/>
        <w:autoSpaceDN w:val="0"/>
        <w:adjustRightInd w:val="0"/>
        <w:spacing w:after="260" w:line="221" w:lineRule="atLeast"/>
        <w:rPr>
          <w:rFonts w:ascii="Myriad Pro" w:hAnsi="Myriad Pro" w:cs="Myriad Pro"/>
          <w:b/>
          <w:color w:val="000000"/>
          <w:sz w:val="28"/>
          <w:szCs w:val="28"/>
        </w:rPr>
      </w:pPr>
      <w:proofErr w:type="spellStart"/>
      <w:r w:rsidRPr="00917689">
        <w:rPr>
          <w:rFonts w:ascii="Myriad Pro" w:hAnsi="Myriad Pro" w:cs="Myriad Pro"/>
          <w:b/>
          <w:color w:val="211D1E"/>
          <w:sz w:val="28"/>
          <w:szCs w:val="28"/>
        </w:rPr>
        <w:t>E</w:t>
      </w:r>
      <w:r w:rsidRPr="00917689">
        <w:rPr>
          <w:rFonts w:ascii="Myriad Pro" w:hAnsi="Myriad Pro" w:cs="Myriad Pro"/>
          <w:b/>
          <w:color w:val="211D1E"/>
          <w:sz w:val="28"/>
          <w:szCs w:val="28"/>
          <w:vertAlign w:val="subscript"/>
        </w:rPr>
        <w:t>saline</w:t>
      </w:r>
      <w:proofErr w:type="spellEnd"/>
      <w:r w:rsidRPr="00917689">
        <w:rPr>
          <w:rFonts w:ascii="Myriad Pro" w:hAnsi="Myriad Pro" w:cs="Myriad Pro"/>
          <w:b/>
          <w:color w:val="211D1E"/>
          <w:sz w:val="28"/>
          <w:szCs w:val="28"/>
        </w:rPr>
        <w:t xml:space="preserve"> = </w:t>
      </w:r>
      <w:proofErr w:type="spellStart"/>
      <w:r w:rsidRPr="00917689">
        <w:rPr>
          <w:rFonts w:ascii="Myriad Pro" w:hAnsi="Myriad Pro" w:cs="Myriad Pro"/>
          <w:b/>
          <w:color w:val="211D1E"/>
          <w:sz w:val="28"/>
          <w:szCs w:val="28"/>
        </w:rPr>
        <w:t>E</w:t>
      </w:r>
      <w:r w:rsidRPr="00917689">
        <w:rPr>
          <w:rFonts w:ascii="Myriad Pro" w:hAnsi="Myriad Pro" w:cs="Myriad Pro"/>
          <w:b/>
          <w:color w:val="211D1E"/>
          <w:sz w:val="28"/>
          <w:szCs w:val="28"/>
          <w:vertAlign w:val="subscript"/>
        </w:rPr>
        <w:t>An</w:t>
      </w:r>
      <w:proofErr w:type="spellEnd"/>
      <w:r w:rsidRPr="00917689">
        <w:rPr>
          <w:rFonts w:ascii="Myriad Pro" w:hAnsi="Myriad Pro" w:cs="Myriad Pro"/>
          <w:b/>
          <w:color w:val="211D1E"/>
          <w:sz w:val="28"/>
          <w:szCs w:val="28"/>
          <w:vertAlign w:val="subscript"/>
        </w:rPr>
        <w:t xml:space="preserve">/At </w:t>
      </w:r>
      <w:proofErr w:type="spellStart"/>
      <w:r w:rsidRPr="00917689">
        <w:rPr>
          <w:rFonts w:ascii="Myriad Pro" w:hAnsi="Myriad Pro" w:cs="Myriad Pro"/>
          <w:b/>
          <w:color w:val="211D1E"/>
          <w:sz w:val="28"/>
          <w:szCs w:val="28"/>
        </w:rPr>
        <w:t>E</w:t>
      </w:r>
      <w:r w:rsidRPr="00917689">
        <w:rPr>
          <w:rFonts w:ascii="Myriad Pro" w:hAnsi="Myriad Pro" w:cs="Myriad Pro"/>
          <w:b/>
          <w:color w:val="211D1E"/>
          <w:sz w:val="28"/>
          <w:szCs w:val="28"/>
          <w:vertAlign w:val="subscript"/>
        </w:rPr>
        <w:t>hn</w:t>
      </w:r>
      <w:proofErr w:type="spellEnd"/>
      <w:r w:rsidRPr="00917689">
        <w:rPr>
          <w:rFonts w:ascii="Myriad Pro" w:hAnsi="Myriad Pro" w:cs="Myriad Pro"/>
          <w:b/>
          <w:color w:val="211D1E"/>
          <w:sz w:val="28"/>
          <w:szCs w:val="28"/>
          <w:vertAlign w:val="subscript"/>
        </w:rPr>
        <w:t xml:space="preserve">/hg </w:t>
      </w:r>
      <w:proofErr w:type="spellStart"/>
      <w:r w:rsidRPr="00917689">
        <w:rPr>
          <w:rFonts w:ascii="Myriad Pro" w:hAnsi="Myriad Pro" w:cs="Myriad Pro"/>
          <w:b/>
          <w:color w:val="211D1E"/>
          <w:sz w:val="28"/>
          <w:szCs w:val="28"/>
        </w:rPr>
        <w:t>E</w:t>
      </w:r>
      <w:r>
        <w:rPr>
          <w:rFonts w:ascii="Myriad Pro" w:hAnsi="Myriad Pro" w:cs="Myriad Pro"/>
          <w:b/>
          <w:color w:val="211D1E"/>
          <w:sz w:val="28"/>
          <w:szCs w:val="28"/>
          <w:vertAlign w:val="subscript"/>
        </w:rPr>
        <w:t>Ø</w:t>
      </w:r>
      <w:r w:rsidRPr="00917689">
        <w:rPr>
          <w:rFonts w:ascii="Myriad Pro" w:hAnsi="Myriad Pro" w:cs="Myriad Pro"/>
          <w:b/>
          <w:color w:val="211D1E"/>
          <w:sz w:val="28"/>
          <w:szCs w:val="28"/>
          <w:vertAlign w:val="subscript"/>
        </w:rPr>
        <w:t>e</w:t>
      </w:r>
      <w:proofErr w:type="spellEnd"/>
      <w:r w:rsidRPr="00917689">
        <w:rPr>
          <w:rFonts w:ascii="Myriad Pro" w:hAnsi="Myriad Pro" w:cs="Myriad Pro"/>
          <w:b/>
          <w:color w:val="211D1E"/>
          <w:sz w:val="28"/>
          <w:szCs w:val="28"/>
          <w:vertAlign w:val="subscript"/>
        </w:rPr>
        <w:t xml:space="preserve">/ </w:t>
      </w:r>
      <w:proofErr w:type="spellStart"/>
      <w:r>
        <w:rPr>
          <w:rFonts w:ascii="Myriad Pro" w:hAnsi="Myriad Pro" w:cs="Myriad Pro"/>
          <w:b/>
          <w:color w:val="211D1E"/>
          <w:sz w:val="28"/>
          <w:szCs w:val="28"/>
          <w:vertAlign w:val="subscript"/>
        </w:rPr>
        <w:t>Ø</w:t>
      </w:r>
      <w:r w:rsidRPr="00917689">
        <w:rPr>
          <w:rFonts w:ascii="Myriad Pro" w:hAnsi="Myriad Pro" w:cs="Myriad Pro"/>
          <w:b/>
          <w:color w:val="211D1E"/>
          <w:sz w:val="28"/>
          <w:szCs w:val="28"/>
          <w:vertAlign w:val="subscript"/>
        </w:rPr>
        <w:t>tot</w:t>
      </w:r>
      <w:proofErr w:type="spellEnd"/>
      <w:r w:rsidRPr="00917689">
        <w:rPr>
          <w:rFonts w:ascii="Myriad Pro" w:hAnsi="Myriad Pro" w:cs="Myriad Pro"/>
          <w:b/>
          <w:color w:val="211D1E"/>
          <w:sz w:val="28"/>
          <w:szCs w:val="28"/>
          <w:vertAlign w:val="subscript"/>
        </w:rPr>
        <w:t xml:space="preserve"> </w:t>
      </w:r>
      <w:proofErr w:type="spellStart"/>
      <w:proofErr w:type="gramStart"/>
      <w:r w:rsidRPr="00917689">
        <w:rPr>
          <w:rFonts w:ascii="Myriad Pro" w:hAnsi="Myriad Pro" w:cs="Myriad Pro"/>
          <w:b/>
          <w:color w:val="211D1E"/>
          <w:sz w:val="28"/>
          <w:szCs w:val="28"/>
        </w:rPr>
        <w:t>E</w:t>
      </w:r>
      <w:r w:rsidRPr="00917689">
        <w:rPr>
          <w:rFonts w:ascii="Myriad Pro" w:hAnsi="Myriad Pro" w:cs="Myriad Pro"/>
          <w:b/>
          <w:color w:val="211D1E"/>
          <w:sz w:val="28"/>
          <w:szCs w:val="28"/>
          <w:vertAlign w:val="subscript"/>
        </w:rPr>
        <w:t>v</w:t>
      </w:r>
      <w:proofErr w:type="spellEnd"/>
      <w:proofErr w:type="gramEnd"/>
      <w:r w:rsidRPr="00917689">
        <w:rPr>
          <w:rFonts w:ascii="Myriad Pro" w:hAnsi="Myriad Pro" w:cs="Myriad Pro"/>
          <w:b/>
          <w:color w:val="211D1E"/>
          <w:sz w:val="28"/>
          <w:szCs w:val="28"/>
        </w:rPr>
        <w:t xml:space="preserve"> E</w:t>
      </w:r>
      <w:r w:rsidRPr="00917689">
        <w:rPr>
          <w:rFonts w:ascii="Myriad Pro" w:hAnsi="Myriad Pro" w:cs="Myriad Pro"/>
          <w:b/>
          <w:color w:val="211D1E"/>
          <w:sz w:val="28"/>
          <w:szCs w:val="28"/>
          <w:vertAlign w:val="subscript"/>
        </w:rPr>
        <w:t>d</w:t>
      </w:r>
      <w:r w:rsidRPr="00917689">
        <w:rPr>
          <w:rFonts w:ascii="Myriad Pro" w:hAnsi="Myriad Pro" w:cs="Myriad Pro"/>
          <w:b/>
          <w:color w:val="211D1E"/>
          <w:sz w:val="28"/>
          <w:szCs w:val="28"/>
        </w:rPr>
        <w:t xml:space="preserve"> </w:t>
      </w:r>
      <w:r>
        <w:rPr>
          <w:rFonts w:ascii="Myriad Pro" w:hAnsi="Myriad Pro" w:cs="Myriad Pro"/>
          <w:b/>
          <w:color w:val="211D1E"/>
          <w:sz w:val="28"/>
          <w:szCs w:val="28"/>
        </w:rPr>
        <w:t xml:space="preserve">              </w:t>
      </w:r>
      <w:r w:rsidRPr="00917689">
        <w:rPr>
          <w:rFonts w:ascii="Myriad Pro" w:hAnsi="Myriad Pro" w:cs="Myriad Pro"/>
          <w:b/>
          <w:color w:val="000000"/>
          <w:sz w:val="28"/>
          <w:szCs w:val="28"/>
        </w:rPr>
        <w:t>(6)</w:t>
      </w:r>
    </w:p>
    <w:p w:rsidR="00917689" w:rsidRPr="00917689" w:rsidRDefault="00917689" w:rsidP="00917689">
      <w:pPr>
        <w:autoSpaceDE w:val="0"/>
        <w:autoSpaceDN w:val="0"/>
        <w:adjustRightInd w:val="0"/>
        <w:spacing w:after="260" w:line="221" w:lineRule="atLeast"/>
        <w:rPr>
          <w:rFonts w:ascii="Myriad Pro" w:hAnsi="Myriad Pro" w:cs="Myriad Pro"/>
          <w:color w:val="211D1E"/>
        </w:rPr>
      </w:pPr>
      <w:r w:rsidRPr="00917689">
        <w:rPr>
          <w:rFonts w:ascii="Myriad Pro" w:hAnsi="Myriad Pro" w:cs="Myriad Pro"/>
          <w:color w:val="211D1E"/>
        </w:rPr>
        <w:t xml:space="preserve">The area </w:t>
      </w:r>
      <w:proofErr w:type="spellStart"/>
      <w:r w:rsidRPr="00917689">
        <w:rPr>
          <w:rFonts w:ascii="Myriad Pro" w:hAnsi="Myriad Pro" w:cs="Myriad Pro"/>
          <w:color w:val="211D1E"/>
        </w:rPr>
        <w:t>E</w:t>
      </w:r>
      <w:r w:rsidRPr="00917689">
        <w:rPr>
          <w:rFonts w:ascii="Myriad Pro" w:hAnsi="Myriad Pro" w:cs="Myriad Pro"/>
          <w:color w:val="211D1E"/>
          <w:sz w:val="12"/>
        </w:rPr>
        <w:t>An</w:t>
      </w:r>
      <w:proofErr w:type="spellEnd"/>
      <w:r w:rsidRPr="00917689">
        <w:rPr>
          <w:rFonts w:ascii="Myriad Pro" w:hAnsi="Myriad Pro" w:cs="Myriad Pro"/>
          <w:color w:val="211D1E"/>
          <w:sz w:val="12"/>
        </w:rPr>
        <w:t>/</w:t>
      </w:r>
      <w:proofErr w:type="gramStart"/>
      <w:r w:rsidRPr="00917689">
        <w:rPr>
          <w:rFonts w:ascii="Myriad Pro" w:hAnsi="Myriad Pro" w:cs="Myriad Pro"/>
          <w:color w:val="211D1E"/>
          <w:sz w:val="12"/>
        </w:rPr>
        <w:t>At</w:t>
      </w:r>
      <w:proofErr w:type="gramEnd"/>
      <w:r w:rsidRPr="00917689">
        <w:rPr>
          <w:rFonts w:ascii="Myriad Pro" w:hAnsi="Myriad Pro" w:cs="Myriad Pro"/>
          <w:color w:val="211D1E"/>
        </w:rPr>
        <w:t xml:space="preserve">, thickness </w:t>
      </w:r>
      <w:proofErr w:type="spellStart"/>
      <w:r w:rsidRPr="00917689">
        <w:rPr>
          <w:rFonts w:ascii="Myriad Pro" w:hAnsi="Myriad Pro" w:cs="Myriad Pro"/>
          <w:color w:val="211D1E"/>
        </w:rPr>
        <w:t>E</w:t>
      </w:r>
      <w:r w:rsidRPr="00917689">
        <w:rPr>
          <w:rFonts w:ascii="Myriad Pro" w:hAnsi="Myriad Pro" w:cs="Myriad Pro"/>
          <w:color w:val="211D1E"/>
          <w:sz w:val="12"/>
        </w:rPr>
        <w:t>hn</w:t>
      </w:r>
      <w:proofErr w:type="spellEnd"/>
      <w:r w:rsidRPr="00917689">
        <w:rPr>
          <w:rFonts w:ascii="Myriad Pro" w:hAnsi="Myriad Pro" w:cs="Myriad Pro"/>
          <w:color w:val="211D1E"/>
          <w:sz w:val="12"/>
        </w:rPr>
        <w:t>/hg</w:t>
      </w:r>
      <w:r w:rsidRPr="00917689">
        <w:rPr>
          <w:rFonts w:ascii="Myriad Pro" w:hAnsi="Myriad Pro" w:cs="Myriad Pro"/>
          <w:color w:val="211D1E"/>
        </w:rPr>
        <w:t xml:space="preserve">, and porosity </w:t>
      </w:r>
      <w:proofErr w:type="spellStart"/>
      <w:r w:rsidRPr="00917689">
        <w:rPr>
          <w:rFonts w:ascii="Myriad Pro" w:hAnsi="Myriad Pro" w:cs="Myriad Pro"/>
          <w:color w:val="211D1E"/>
        </w:rPr>
        <w:t>E</w:t>
      </w:r>
      <w:r w:rsidRPr="00917689">
        <w:rPr>
          <w:rFonts w:ascii="Myriad Pro" w:hAnsi="Myriad Pro" w:cs="Myriad Pro"/>
          <w:color w:val="211D1E"/>
          <w:sz w:val="12"/>
        </w:rPr>
        <w:t>φe</w:t>
      </w:r>
      <w:proofErr w:type="spellEnd"/>
      <w:r w:rsidRPr="00917689">
        <w:rPr>
          <w:rFonts w:ascii="Myriad Pro" w:hAnsi="Myriad Pro" w:cs="Myriad Pro"/>
          <w:color w:val="211D1E"/>
          <w:sz w:val="12"/>
        </w:rPr>
        <w:t xml:space="preserve">/ </w:t>
      </w:r>
      <w:proofErr w:type="spellStart"/>
      <w:r w:rsidRPr="00917689">
        <w:rPr>
          <w:rFonts w:ascii="Myriad Pro" w:hAnsi="Myriad Pro" w:cs="Myriad Pro"/>
          <w:color w:val="211D1E"/>
          <w:sz w:val="12"/>
        </w:rPr>
        <w:t>φtot</w:t>
      </w:r>
      <w:proofErr w:type="spellEnd"/>
      <w:r w:rsidRPr="00917689">
        <w:rPr>
          <w:rFonts w:ascii="Myriad Pro" w:hAnsi="Myriad Pro" w:cs="Myriad Pro"/>
          <w:color w:val="211D1E"/>
          <w:sz w:val="12"/>
        </w:rPr>
        <w:t xml:space="preserve"> </w:t>
      </w:r>
      <w:r w:rsidRPr="00917689">
        <w:rPr>
          <w:rFonts w:ascii="Myriad Pro" w:hAnsi="Myriad Pro" w:cs="Myriad Pro"/>
          <w:color w:val="211D1E"/>
        </w:rPr>
        <w:t>terms gauge the percentage of volume that is amenable to CO</w:t>
      </w:r>
      <w:r w:rsidRPr="00917689">
        <w:rPr>
          <w:rFonts w:ascii="Myriad Pro" w:hAnsi="Myriad Pro" w:cs="Myriad Pro"/>
          <w:color w:val="211D1E"/>
          <w:sz w:val="12"/>
        </w:rPr>
        <w:t xml:space="preserve">2 </w:t>
      </w:r>
      <w:r w:rsidRPr="00917689">
        <w:rPr>
          <w:rFonts w:ascii="Myriad Pro" w:hAnsi="Myriad Pro" w:cs="Myriad Pro"/>
          <w:color w:val="211D1E"/>
        </w:rPr>
        <w:t>sequestration. The volumetric displacement term (</w:t>
      </w:r>
      <w:proofErr w:type="spellStart"/>
      <w:r w:rsidRPr="00917689">
        <w:rPr>
          <w:rFonts w:ascii="Myriad Pro" w:hAnsi="Myriad Pro" w:cs="Myriad Pro"/>
          <w:color w:val="211D1E"/>
        </w:rPr>
        <w:t>E</w:t>
      </w:r>
      <w:r w:rsidRPr="00917689">
        <w:rPr>
          <w:rFonts w:ascii="Myriad Pro" w:hAnsi="Myriad Pro" w:cs="Myriad Pro"/>
          <w:color w:val="211D1E"/>
          <w:sz w:val="12"/>
        </w:rPr>
        <w:t>v</w:t>
      </w:r>
      <w:proofErr w:type="spellEnd"/>
      <w:r w:rsidRPr="00917689">
        <w:rPr>
          <w:rFonts w:ascii="Myriad Pro" w:hAnsi="Myriad Pro" w:cs="Myriad Pro"/>
          <w:color w:val="211D1E"/>
        </w:rPr>
        <w:t>) corrects for the effective CO</w:t>
      </w:r>
      <w:r w:rsidRPr="00917689">
        <w:rPr>
          <w:rFonts w:ascii="Myriad Pro" w:hAnsi="Myriad Pro" w:cs="Myriad Pro"/>
          <w:color w:val="211D1E"/>
          <w:sz w:val="12"/>
        </w:rPr>
        <w:t xml:space="preserve">2 </w:t>
      </w:r>
      <w:r w:rsidRPr="00917689">
        <w:rPr>
          <w:rFonts w:ascii="Myriad Pro" w:hAnsi="Myriad Pro" w:cs="Myriad Pro"/>
          <w:color w:val="211D1E"/>
        </w:rPr>
        <w:t>plume shape. The microscopic displacement term (E</w:t>
      </w:r>
      <w:r w:rsidRPr="00917689">
        <w:rPr>
          <w:rFonts w:ascii="Myriad Pro" w:hAnsi="Myriad Pro" w:cs="Myriad Pro"/>
          <w:color w:val="211D1E"/>
          <w:sz w:val="12"/>
        </w:rPr>
        <w:t>d</w:t>
      </w:r>
      <w:r w:rsidRPr="00917689">
        <w:rPr>
          <w:rFonts w:ascii="Myriad Pro" w:hAnsi="Myriad Pro" w:cs="Myriad Pro"/>
          <w:color w:val="211D1E"/>
        </w:rPr>
        <w:t>) corrects for the accessible pore volume available to CO</w:t>
      </w:r>
      <w:r w:rsidRPr="00917689">
        <w:rPr>
          <w:rFonts w:ascii="Myriad Pro" w:hAnsi="Myriad Pro" w:cs="Myriad Pro"/>
          <w:color w:val="211D1E"/>
          <w:sz w:val="12"/>
        </w:rPr>
        <w:t>2</w:t>
      </w:r>
      <w:r w:rsidRPr="00917689">
        <w:rPr>
          <w:rFonts w:ascii="Myriad Pro" w:hAnsi="Myriad Pro" w:cs="Myriad Pro"/>
          <w:color w:val="211D1E"/>
        </w:rPr>
        <w:t xml:space="preserve">. </w:t>
      </w:r>
    </w:p>
    <w:p w:rsidR="00917689" w:rsidRDefault="00917689" w:rsidP="00917689">
      <w:pPr>
        <w:rPr>
          <w:rFonts w:ascii="Myriad Pro" w:hAnsi="Myriad Pro" w:cs="Myriad Pro"/>
          <w:color w:val="211D1E"/>
        </w:rPr>
      </w:pPr>
      <w:r w:rsidRPr="00917689">
        <w:rPr>
          <w:rFonts w:ascii="Myriad Pro" w:hAnsi="Myriad Pro" w:cs="Myriad Pro"/>
          <w:color w:val="211D1E"/>
        </w:rPr>
        <w:t>Efficiency (</w:t>
      </w:r>
      <w:proofErr w:type="spellStart"/>
      <w:r w:rsidRPr="00917689">
        <w:rPr>
          <w:rFonts w:ascii="Myriad Pro" w:hAnsi="Myriad Pro" w:cs="Myriad Pro"/>
          <w:color w:val="211D1E"/>
        </w:rPr>
        <w:t>E</w:t>
      </w:r>
      <w:r w:rsidRPr="00917689">
        <w:rPr>
          <w:rFonts w:ascii="Myriad Pro" w:hAnsi="Myriad Pro" w:cs="Myriad Pro"/>
          <w:color w:val="211D1E"/>
          <w:sz w:val="12"/>
        </w:rPr>
        <w:t>saline</w:t>
      </w:r>
      <w:proofErr w:type="spellEnd"/>
      <w:r w:rsidRPr="00917689">
        <w:rPr>
          <w:rFonts w:ascii="Myriad Pro" w:hAnsi="Myriad Pro" w:cs="Myriad Pro"/>
          <w:color w:val="211D1E"/>
        </w:rPr>
        <w:t xml:space="preserve">) was estimated from the individual terms in </w:t>
      </w:r>
      <w:proofErr w:type="spellStart"/>
      <w:r w:rsidRPr="00917689">
        <w:rPr>
          <w:rFonts w:ascii="Myriad Pro" w:hAnsi="Myriad Pro" w:cs="Myriad Pro"/>
          <w:color w:val="211D1E"/>
        </w:rPr>
        <w:t>eq</w:t>
      </w:r>
      <w:proofErr w:type="spellEnd"/>
      <w:r w:rsidRPr="00917689">
        <w:rPr>
          <w:rFonts w:ascii="Myriad Pro" w:hAnsi="Myriad Pro" w:cs="Myriad Pro"/>
          <w:color w:val="211D1E"/>
        </w:rPr>
        <w:t xml:space="preserve"> 6 by Monte Carlo sampling. Each individual term in </w:t>
      </w:r>
      <w:proofErr w:type="spellStart"/>
      <w:r w:rsidRPr="00917689">
        <w:rPr>
          <w:rFonts w:ascii="Myriad Pro" w:hAnsi="Myriad Pro" w:cs="Myriad Pro"/>
          <w:color w:val="211D1E"/>
        </w:rPr>
        <w:t>eq</w:t>
      </w:r>
      <w:proofErr w:type="spellEnd"/>
      <w:r w:rsidRPr="00917689">
        <w:rPr>
          <w:rFonts w:ascii="Myriad Pro" w:hAnsi="Myriad Pro" w:cs="Myriad Pro"/>
          <w:color w:val="211D1E"/>
        </w:rPr>
        <w:t xml:space="preserve"> 6 is given by a fraction, p. </w:t>
      </w:r>
      <w:proofErr w:type="gramStart"/>
      <w:r w:rsidRPr="00917689">
        <w:rPr>
          <w:rFonts w:ascii="Myriad Pro" w:hAnsi="Myriad Pro" w:cs="Myriad Pro"/>
          <w:color w:val="211D1E"/>
        </w:rPr>
        <w:t>Various</w:t>
      </w:r>
      <w:proofErr w:type="gramEnd"/>
      <w:r w:rsidRPr="00917689">
        <w:rPr>
          <w:rFonts w:ascii="Myriad Pro" w:hAnsi="Myriad Pro" w:cs="Myriad Pro"/>
          <w:color w:val="211D1E"/>
        </w:rPr>
        <w:t xml:space="preserve"> parametric distribution functions, such as normal, uniform, and lognormal, could be used to represent the distributions of the </w:t>
      </w:r>
      <w:proofErr w:type="spellStart"/>
      <w:r w:rsidRPr="00917689">
        <w:rPr>
          <w:rFonts w:ascii="Myriad Pro" w:hAnsi="Myriad Pro" w:cs="Myriad Pro"/>
          <w:color w:val="211D1E"/>
        </w:rPr>
        <w:t>p’s</w:t>
      </w:r>
      <w:proofErr w:type="spellEnd"/>
      <w:r w:rsidRPr="00917689">
        <w:rPr>
          <w:rFonts w:ascii="Myriad Pro" w:hAnsi="Myriad Pro" w:cs="Myriad Pro"/>
          <w:color w:val="211D1E"/>
        </w:rPr>
        <w:t xml:space="preserve">. Currently, there is not enough data available to support assigning a specific distribution function to each of the individual terms in </w:t>
      </w:r>
      <w:proofErr w:type="spellStart"/>
      <w:r w:rsidRPr="00917689">
        <w:rPr>
          <w:rFonts w:ascii="Myriad Pro" w:hAnsi="Myriad Pro" w:cs="Myriad Pro"/>
          <w:color w:val="211D1E"/>
        </w:rPr>
        <w:t>eq</w:t>
      </w:r>
      <w:proofErr w:type="spellEnd"/>
      <w:r w:rsidRPr="00917689">
        <w:rPr>
          <w:rFonts w:ascii="Myriad Pro" w:hAnsi="Myriad Pro" w:cs="Myriad Pro"/>
          <w:color w:val="211D1E"/>
        </w:rPr>
        <w:t xml:space="preserve"> 6 at the regional and national scale. Since the </w:t>
      </w:r>
      <w:proofErr w:type="spellStart"/>
      <w:proofErr w:type="gramStart"/>
      <w:r w:rsidRPr="00917689">
        <w:rPr>
          <w:rFonts w:ascii="Myriad Pro" w:hAnsi="Myriad Pro" w:cs="Myriad Pro"/>
          <w:color w:val="211D1E"/>
        </w:rPr>
        <w:t>p’s</w:t>
      </w:r>
      <w:proofErr w:type="spellEnd"/>
      <w:proofErr w:type="gramEnd"/>
      <w:r w:rsidRPr="00917689">
        <w:rPr>
          <w:rFonts w:ascii="Myriad Pro" w:hAnsi="Myriad Pro" w:cs="Myriad Pro"/>
          <w:color w:val="211D1E"/>
        </w:rPr>
        <w:t xml:space="preserve"> are fractions, they are constrained to the range between 0 and 1. Thus, the most appropriate distribution functions will be those that are constrained to the range between 0 and 1. Two distribution functions meeting this criterion and considered in this work are the beta distribution and the log-odds normal distribution. While both distributions are appropriate, the log-odds normal distribution, also known as the logistics-normal distribution (</w:t>
      </w:r>
      <w:proofErr w:type="spellStart"/>
      <w:r w:rsidRPr="00917689">
        <w:rPr>
          <w:rFonts w:ascii="Myriad Pro" w:hAnsi="Myriad Pro" w:cs="Myriad Pro"/>
          <w:color w:val="211D1E"/>
        </w:rPr>
        <w:t>Aitchison</w:t>
      </w:r>
      <w:proofErr w:type="spellEnd"/>
      <w:r w:rsidRPr="00917689">
        <w:rPr>
          <w:rFonts w:ascii="Myriad Pro" w:hAnsi="Myriad Pro" w:cs="Myriad Pro"/>
          <w:color w:val="211D1E"/>
        </w:rPr>
        <w:t xml:space="preserve"> and </w:t>
      </w:r>
      <w:proofErr w:type="spellStart"/>
      <w:r w:rsidRPr="00917689">
        <w:rPr>
          <w:rFonts w:ascii="Myriad Pro" w:hAnsi="Myriad Pro" w:cs="Myriad Pro"/>
          <w:color w:val="211D1E"/>
        </w:rPr>
        <w:t>Shen</w:t>
      </w:r>
      <w:proofErr w:type="spellEnd"/>
      <w:r w:rsidRPr="00917689">
        <w:rPr>
          <w:rFonts w:ascii="Myriad Pro" w:hAnsi="Myriad Pro" w:cs="Myriad Pro"/>
          <w:color w:val="211D1E"/>
        </w:rPr>
        <w:t>, 1980), was chosen because of its ability to directly integrate the P</w:t>
      </w:r>
      <w:r w:rsidRPr="00917689">
        <w:rPr>
          <w:rFonts w:ascii="Myriad Pro" w:hAnsi="Myriad Pro" w:cs="Myriad Pro"/>
          <w:color w:val="211D1E"/>
          <w:sz w:val="12"/>
        </w:rPr>
        <w:t xml:space="preserve">10 </w:t>
      </w:r>
      <w:r w:rsidRPr="00917689">
        <w:rPr>
          <w:rFonts w:ascii="Myriad Pro" w:hAnsi="Myriad Pro" w:cs="Myriad Pro"/>
          <w:color w:val="211D1E"/>
        </w:rPr>
        <w:t>and P</w:t>
      </w:r>
      <w:r w:rsidRPr="00917689">
        <w:rPr>
          <w:rFonts w:ascii="Myriad Pro" w:hAnsi="Myriad Pro" w:cs="Myriad Pro"/>
          <w:color w:val="211D1E"/>
          <w:sz w:val="12"/>
        </w:rPr>
        <w:t xml:space="preserve">90 </w:t>
      </w:r>
      <w:r w:rsidRPr="00917689">
        <w:rPr>
          <w:rFonts w:ascii="Myriad Pro" w:hAnsi="Myriad Pro" w:cs="Myriad Pro"/>
          <w:color w:val="211D1E"/>
        </w:rPr>
        <w:t xml:space="preserve">ranges of geologic and displacement parameters provided by IEA (2009) as presented in Table 4. It was assumed that the individual efficiency terms in </w:t>
      </w:r>
      <w:proofErr w:type="spellStart"/>
      <w:r w:rsidRPr="00917689">
        <w:rPr>
          <w:rFonts w:ascii="Myriad Pro" w:hAnsi="Myriad Pro" w:cs="Myriad Pro"/>
          <w:color w:val="211D1E"/>
        </w:rPr>
        <w:t>eq</w:t>
      </w:r>
      <w:proofErr w:type="spellEnd"/>
      <w:r w:rsidRPr="00917689">
        <w:rPr>
          <w:rFonts w:ascii="Myriad Pro" w:hAnsi="Myriad Pro" w:cs="Myriad Pro"/>
          <w:color w:val="211D1E"/>
        </w:rPr>
        <w:t xml:space="preserve"> 6 could all be represented using a log-odds normal distribution at the regional and national scale. From the limited data available (IEA, 2009), all parameters were assumed to be independent since no correlation was found between the parameters. However, parameters may be linked at the site-specific scale.</w:t>
      </w:r>
    </w:p>
    <w:p w:rsidR="00917689" w:rsidRDefault="00917689" w:rsidP="00917689">
      <w:pPr>
        <w:rPr>
          <w:rFonts w:ascii="Myriad Pro" w:hAnsi="Myriad Pro" w:cs="Myriad Pro"/>
          <w:color w:val="211D1E"/>
        </w:rPr>
      </w:pPr>
    </w:p>
    <w:p w:rsidR="00917689" w:rsidRDefault="00917689" w:rsidP="00917689">
      <w:r>
        <w:t xml:space="preserve">The log-odds normal distribution transforms a fraction, p, by </w:t>
      </w:r>
      <w:proofErr w:type="spellStart"/>
      <w:r>
        <w:t>eq</w:t>
      </w:r>
      <w:proofErr w:type="spellEnd"/>
      <w:r>
        <w:t xml:space="preserve"> 7 and assumes that the transformed variable can be normally distributed.</w:t>
      </w:r>
    </w:p>
    <w:p w:rsidR="00917689" w:rsidRPr="002530C9" w:rsidRDefault="00917689" w:rsidP="00917689">
      <w:pPr>
        <w:rPr>
          <w:b/>
          <w:sz w:val="28"/>
          <w:szCs w:val="28"/>
        </w:rPr>
      </w:pPr>
      <w:r w:rsidRPr="002530C9">
        <w:rPr>
          <w:b/>
          <w:sz w:val="28"/>
          <w:szCs w:val="28"/>
        </w:rPr>
        <w:t xml:space="preserve">X = </w:t>
      </w:r>
      <w:proofErr w:type="spellStart"/>
      <w:r w:rsidRPr="002530C9">
        <w:rPr>
          <w:b/>
          <w:sz w:val="28"/>
          <w:szCs w:val="28"/>
        </w:rPr>
        <w:t>ln</w:t>
      </w:r>
      <w:proofErr w:type="spellEnd"/>
      <w:r w:rsidRPr="002530C9">
        <w:rPr>
          <w:b/>
          <w:sz w:val="28"/>
          <w:szCs w:val="28"/>
        </w:rPr>
        <w:t xml:space="preserve"> (</w:t>
      </w:r>
      <w:r w:rsidR="002530C9" w:rsidRPr="002530C9">
        <w:rPr>
          <w:b/>
          <w:sz w:val="28"/>
          <w:szCs w:val="28"/>
        </w:rPr>
        <w:t>p</w:t>
      </w:r>
      <w:proofErr w:type="gramStart"/>
      <w:r w:rsidR="002530C9" w:rsidRPr="002530C9">
        <w:rPr>
          <w:b/>
          <w:sz w:val="28"/>
          <w:szCs w:val="28"/>
        </w:rPr>
        <w:t>/</w:t>
      </w:r>
      <w:r w:rsidR="002530C9">
        <w:rPr>
          <w:b/>
          <w:sz w:val="28"/>
          <w:szCs w:val="28"/>
        </w:rPr>
        <w:t>(</w:t>
      </w:r>
      <w:proofErr w:type="gramEnd"/>
      <w:r w:rsidRPr="002530C9">
        <w:rPr>
          <w:b/>
          <w:sz w:val="28"/>
          <w:szCs w:val="28"/>
        </w:rPr>
        <w:t>1-p</w:t>
      </w:r>
      <w:r w:rsidR="002530C9">
        <w:rPr>
          <w:b/>
          <w:sz w:val="28"/>
          <w:szCs w:val="28"/>
        </w:rPr>
        <w:t>)</w:t>
      </w:r>
      <w:r w:rsidRPr="002530C9">
        <w:rPr>
          <w:b/>
          <w:sz w:val="28"/>
          <w:szCs w:val="28"/>
        </w:rPr>
        <w:t xml:space="preserve">) </w:t>
      </w:r>
      <w:r w:rsidR="002530C9">
        <w:rPr>
          <w:b/>
          <w:sz w:val="28"/>
          <w:szCs w:val="28"/>
        </w:rPr>
        <w:t xml:space="preserve">    </w:t>
      </w:r>
      <w:r w:rsidRPr="002530C9">
        <w:rPr>
          <w:b/>
          <w:sz w:val="28"/>
          <w:szCs w:val="28"/>
        </w:rPr>
        <w:t>(7)</w:t>
      </w:r>
    </w:p>
    <w:p w:rsidR="00917689" w:rsidRDefault="00917689" w:rsidP="00917689">
      <w:r>
        <w:t>The distribution is so named because the p</w:t>
      </w:r>
      <w:proofErr w:type="gramStart"/>
      <w:r>
        <w:t>/(</w:t>
      </w:r>
      <w:proofErr w:type="gramEnd"/>
      <w:r>
        <w:t xml:space="preserve">1–p) term in </w:t>
      </w:r>
      <w:proofErr w:type="spellStart"/>
      <w:r>
        <w:t>eq</w:t>
      </w:r>
      <w:proofErr w:type="spellEnd"/>
      <w:r>
        <w:t xml:space="preserve"> 7 is the “odds” for a fraction or probability p; therefore, </w:t>
      </w:r>
      <w:proofErr w:type="spellStart"/>
      <w:r>
        <w:t>ln</w:t>
      </w:r>
      <w:proofErr w:type="spellEnd"/>
      <w:r>
        <w:t xml:space="preserve">[p/(1–p)] is the “log odds.” The use of this distribution is referred to as the log odds method when applied with Monte Carlo sampling (Devore, 2004). The transformed variable, X, is then normally distributed and sampled with Monte Carlo techniques. Then, the X value is transformed back to the corresponding p value by </w:t>
      </w:r>
      <w:proofErr w:type="spellStart"/>
      <w:r>
        <w:t>eq</w:t>
      </w:r>
      <w:proofErr w:type="spellEnd"/>
      <w:r>
        <w:t xml:space="preserve"> 8, which is the inversion of </w:t>
      </w:r>
      <w:proofErr w:type="spellStart"/>
      <w:r>
        <w:t>eq</w:t>
      </w:r>
      <w:proofErr w:type="spellEnd"/>
      <w:r>
        <w:t xml:space="preserve"> 7:</w:t>
      </w:r>
    </w:p>
    <w:p w:rsidR="00917689" w:rsidRPr="002530C9" w:rsidRDefault="00917689" w:rsidP="00917689">
      <w:pPr>
        <w:rPr>
          <w:b/>
          <w:sz w:val="28"/>
          <w:szCs w:val="28"/>
        </w:rPr>
      </w:pPr>
      <w:r w:rsidRPr="002530C9">
        <w:rPr>
          <w:b/>
          <w:sz w:val="28"/>
          <w:szCs w:val="28"/>
        </w:rPr>
        <w:lastRenderedPageBreak/>
        <w:t xml:space="preserve">p = </w:t>
      </w:r>
      <w:r w:rsidR="002530C9">
        <w:rPr>
          <w:b/>
          <w:sz w:val="28"/>
          <w:szCs w:val="28"/>
        </w:rPr>
        <w:t>1</w:t>
      </w:r>
      <w:proofErr w:type="gramStart"/>
      <w:r w:rsidR="002530C9">
        <w:rPr>
          <w:b/>
          <w:sz w:val="28"/>
          <w:szCs w:val="28"/>
        </w:rPr>
        <w:t>/(</w:t>
      </w:r>
      <w:proofErr w:type="gramEnd"/>
      <w:r w:rsidRPr="002530C9">
        <w:rPr>
          <w:b/>
          <w:sz w:val="28"/>
          <w:szCs w:val="28"/>
        </w:rPr>
        <w:t>1+e</w:t>
      </w:r>
      <w:r w:rsidRPr="002530C9">
        <w:rPr>
          <w:b/>
          <w:sz w:val="28"/>
          <w:szCs w:val="28"/>
          <w:vertAlign w:val="superscript"/>
        </w:rPr>
        <w:t>-X</w:t>
      </w:r>
      <w:r w:rsidR="002530C9">
        <w:rPr>
          <w:b/>
          <w:sz w:val="28"/>
          <w:szCs w:val="28"/>
        </w:rPr>
        <w:t xml:space="preserve">)     </w:t>
      </w:r>
      <w:r w:rsidRPr="002530C9">
        <w:rPr>
          <w:b/>
          <w:sz w:val="28"/>
          <w:szCs w:val="28"/>
        </w:rPr>
        <w:t xml:space="preserve"> (8)</w:t>
      </w:r>
    </w:p>
    <w:p w:rsidR="00917689" w:rsidRDefault="00917689" w:rsidP="00917689">
      <w:r>
        <w:t xml:space="preserve">Since the relationship between </w:t>
      </w:r>
      <w:proofErr w:type="spellStart"/>
      <w:r>
        <w:t>eqs</w:t>
      </w:r>
      <w:proofErr w:type="spellEnd"/>
      <w:r>
        <w:t xml:space="preserve"> 7 and 8 is monotonic, X10 and X90 ranges of geologic and displacement parameters provided by IEA (2009) can be computed directly from P10 and P90 ranges, respectively, using </w:t>
      </w:r>
      <w:proofErr w:type="spellStart"/>
      <w:r>
        <w:t>eq</w:t>
      </w:r>
      <w:proofErr w:type="spellEnd"/>
      <w:r>
        <w:t xml:space="preserve"> 7.</w:t>
      </w:r>
    </w:p>
    <w:p w:rsidR="00917689" w:rsidRDefault="00917689" w:rsidP="00917689">
      <w:r>
        <w:t xml:space="preserve">The log odds approach thus transforms p values of a range into corresponding X values of a range. This allows the mean and standard deviation of X to be determined from the X10 and X90 values. The mean and standard deviation of X fully specify its normal distribution, and these moments are then used as input parameters into the Monte Carlo sampling tools. The P10 and P90 values of the ranges presented in Table 4 were converted to X10 and X90 values by </w:t>
      </w:r>
      <w:proofErr w:type="spellStart"/>
      <w:r>
        <w:t>eq</w:t>
      </w:r>
      <w:proofErr w:type="spellEnd"/>
      <w:r>
        <w:t xml:space="preserve"> 7 and are shown in Table 5.</w:t>
      </w:r>
    </w:p>
    <w:p w:rsidR="00917689" w:rsidRDefault="00917689" w:rsidP="00917689">
      <w:r>
        <w:rPr>
          <w:noProof/>
        </w:rPr>
        <w:drawing>
          <wp:inline distT="0" distB="0" distL="0" distR="0">
            <wp:extent cx="5143500" cy="2571750"/>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l="76603" t="56995" r="12820" b="25907"/>
                    <a:stretch>
                      <a:fillRect/>
                    </a:stretch>
                  </pic:blipFill>
                  <pic:spPr bwMode="auto">
                    <a:xfrm>
                      <a:off x="0" y="0"/>
                      <a:ext cx="5143500" cy="2571750"/>
                    </a:xfrm>
                    <a:prstGeom prst="rect">
                      <a:avLst/>
                    </a:prstGeom>
                    <a:noFill/>
                    <a:ln w="9525">
                      <a:noFill/>
                      <a:miter lim="800000"/>
                      <a:headEnd/>
                      <a:tailEnd/>
                    </a:ln>
                  </pic:spPr>
                </pic:pic>
              </a:graphicData>
            </a:graphic>
          </wp:inline>
        </w:drawing>
      </w:r>
    </w:p>
    <w:p w:rsidR="002530C9" w:rsidRDefault="002530C9" w:rsidP="00917689">
      <w:pPr>
        <w:autoSpaceDE w:val="0"/>
        <w:autoSpaceDN w:val="0"/>
        <w:adjustRightInd w:val="0"/>
        <w:spacing w:after="260" w:line="221" w:lineRule="atLeast"/>
        <w:rPr>
          <w:rFonts w:ascii="Myriad Pro" w:hAnsi="Myriad Pro" w:cs="Myriad Pro"/>
          <w:color w:val="211D1E"/>
        </w:rPr>
      </w:pPr>
      <w:r w:rsidRPr="002530C9">
        <w:rPr>
          <w:rFonts w:ascii="Myriad Pro" w:hAnsi="Myriad Pro" w:cs="Myriad Pro"/>
          <w:color w:val="211D1E"/>
        </w:rPr>
        <w:t>The mean (</w:t>
      </w:r>
      <w:proofErr w:type="spellStart"/>
      <w:r w:rsidRPr="002530C9">
        <w:rPr>
          <w:rFonts w:ascii="Myriad Pro" w:hAnsi="Myriad Pro" w:cs="Myriad Pro"/>
          <w:color w:val="211D1E"/>
        </w:rPr>
        <w:t>μ</w:t>
      </w:r>
      <w:r w:rsidRPr="002530C9">
        <w:rPr>
          <w:rFonts w:ascii="Myriad Pro" w:hAnsi="Myriad Pro" w:cs="Myriad Pro"/>
          <w:color w:val="211D1E"/>
          <w:sz w:val="12"/>
        </w:rPr>
        <w:t>x</w:t>
      </w:r>
      <w:proofErr w:type="spellEnd"/>
      <w:r w:rsidRPr="002530C9">
        <w:rPr>
          <w:rFonts w:ascii="Myriad Pro" w:hAnsi="Myriad Pro" w:cs="Myriad Pro"/>
          <w:color w:val="211D1E"/>
        </w:rPr>
        <w:t>) and standard deviation (</w:t>
      </w:r>
      <w:proofErr w:type="spellStart"/>
      <w:r w:rsidRPr="002530C9">
        <w:rPr>
          <w:rFonts w:ascii="Myriad Pro" w:hAnsi="Myriad Pro" w:cs="Myriad Pro"/>
          <w:color w:val="211D1E"/>
        </w:rPr>
        <w:t>σ</w:t>
      </w:r>
      <w:r w:rsidRPr="002530C9">
        <w:rPr>
          <w:rFonts w:ascii="Myriad Pro" w:hAnsi="Myriad Pro" w:cs="Myriad Pro"/>
          <w:color w:val="211D1E"/>
          <w:sz w:val="12"/>
        </w:rPr>
        <w:t>x</w:t>
      </w:r>
      <w:proofErr w:type="spellEnd"/>
      <w:r w:rsidRPr="002530C9">
        <w:rPr>
          <w:rFonts w:ascii="Myriad Pro" w:hAnsi="Myriad Pro" w:cs="Myriad Pro"/>
          <w:color w:val="211D1E"/>
        </w:rPr>
        <w:t>) are calculated from the X</w:t>
      </w:r>
      <w:r w:rsidRPr="002530C9">
        <w:rPr>
          <w:rFonts w:ascii="Myriad Pro" w:hAnsi="Myriad Pro" w:cs="Myriad Pro"/>
          <w:color w:val="211D1E"/>
          <w:sz w:val="12"/>
        </w:rPr>
        <w:t xml:space="preserve">10 </w:t>
      </w:r>
      <w:r w:rsidRPr="002530C9">
        <w:rPr>
          <w:rFonts w:ascii="Myriad Pro" w:hAnsi="Myriad Pro" w:cs="Myriad Pro"/>
          <w:color w:val="211D1E"/>
        </w:rPr>
        <w:t>and X</w:t>
      </w:r>
      <w:r w:rsidRPr="002530C9">
        <w:rPr>
          <w:rFonts w:ascii="Myriad Pro" w:hAnsi="Myriad Pro" w:cs="Myriad Pro"/>
          <w:color w:val="211D1E"/>
          <w:sz w:val="12"/>
        </w:rPr>
        <w:t xml:space="preserve">90 </w:t>
      </w:r>
      <w:r w:rsidRPr="002530C9">
        <w:rPr>
          <w:rFonts w:ascii="Myriad Pro" w:hAnsi="Myriad Pro" w:cs="Myriad Pro"/>
          <w:color w:val="211D1E"/>
        </w:rPr>
        <w:t xml:space="preserve">values using standard relationships between the percentiles and moments of a normal distribution </w:t>
      </w:r>
    </w:p>
    <w:p w:rsidR="00917689" w:rsidRPr="00917689" w:rsidRDefault="00917689" w:rsidP="00917689">
      <w:pPr>
        <w:autoSpaceDE w:val="0"/>
        <w:autoSpaceDN w:val="0"/>
        <w:adjustRightInd w:val="0"/>
        <w:spacing w:after="260" w:line="221" w:lineRule="atLeast"/>
        <w:rPr>
          <w:rFonts w:ascii="Myriad Pro" w:hAnsi="Myriad Pro" w:cs="Myriad Pro"/>
          <w:b/>
          <w:color w:val="000000"/>
          <w:sz w:val="28"/>
          <w:szCs w:val="28"/>
        </w:rPr>
      </w:pPr>
      <w:proofErr w:type="spellStart"/>
      <w:proofErr w:type="gramStart"/>
      <w:r w:rsidRPr="00917689">
        <w:rPr>
          <w:rFonts w:ascii="Myriad Pro" w:hAnsi="Myriad Pro" w:cs="Myriad Pro"/>
          <w:b/>
          <w:color w:val="211D1E"/>
          <w:sz w:val="28"/>
          <w:szCs w:val="28"/>
        </w:rPr>
        <w:t>σ</w:t>
      </w:r>
      <w:r w:rsidRPr="002530C9">
        <w:rPr>
          <w:rFonts w:ascii="Myriad Pro" w:hAnsi="Myriad Pro" w:cs="Myriad Pro"/>
          <w:b/>
          <w:color w:val="211D1E"/>
          <w:sz w:val="28"/>
          <w:szCs w:val="28"/>
          <w:vertAlign w:val="subscript"/>
        </w:rPr>
        <w:t>X</w:t>
      </w:r>
      <w:proofErr w:type="spellEnd"/>
      <w:proofErr w:type="gramEnd"/>
      <w:r w:rsidRPr="002530C9">
        <w:rPr>
          <w:rFonts w:ascii="Myriad Pro" w:hAnsi="Myriad Pro" w:cs="Myriad Pro"/>
          <w:b/>
          <w:color w:val="211D1E"/>
          <w:sz w:val="28"/>
          <w:szCs w:val="28"/>
        </w:rPr>
        <w:t xml:space="preserve"> </w:t>
      </w:r>
      <w:r w:rsidRPr="00917689">
        <w:rPr>
          <w:rFonts w:ascii="Myriad Pro" w:hAnsi="Myriad Pro" w:cs="Myriad Pro"/>
          <w:b/>
          <w:color w:val="211D1E"/>
          <w:sz w:val="28"/>
          <w:szCs w:val="28"/>
        </w:rPr>
        <w:t xml:space="preserve">= </w:t>
      </w:r>
      <w:r w:rsidR="002530C9">
        <w:rPr>
          <w:rFonts w:ascii="Myriad Pro" w:hAnsi="Myriad Pro" w:cs="Myriad Pro"/>
          <w:b/>
          <w:color w:val="211D1E"/>
          <w:sz w:val="28"/>
          <w:szCs w:val="28"/>
        </w:rPr>
        <w:t>(X</w:t>
      </w:r>
      <w:r w:rsidR="002530C9" w:rsidRPr="002530C9">
        <w:rPr>
          <w:rFonts w:ascii="Myriad Pro" w:hAnsi="Myriad Pro" w:cs="Myriad Pro"/>
          <w:b/>
          <w:color w:val="211D1E"/>
          <w:sz w:val="28"/>
          <w:szCs w:val="28"/>
          <w:vertAlign w:val="subscript"/>
        </w:rPr>
        <w:t>90</w:t>
      </w:r>
      <w:r w:rsidR="002530C9">
        <w:rPr>
          <w:rFonts w:ascii="Myriad Pro" w:hAnsi="Myriad Pro" w:cs="Myriad Pro"/>
          <w:b/>
          <w:color w:val="211D1E"/>
          <w:sz w:val="28"/>
          <w:szCs w:val="28"/>
        </w:rPr>
        <w:t>-x</w:t>
      </w:r>
      <w:r w:rsidR="002530C9" w:rsidRPr="002530C9">
        <w:rPr>
          <w:rFonts w:ascii="Myriad Pro" w:hAnsi="Myriad Pro" w:cs="Myriad Pro"/>
          <w:b/>
          <w:color w:val="211D1E"/>
          <w:sz w:val="28"/>
          <w:szCs w:val="28"/>
          <w:vertAlign w:val="subscript"/>
        </w:rPr>
        <w:t>10</w:t>
      </w:r>
      <w:r w:rsidR="002530C9">
        <w:rPr>
          <w:rFonts w:ascii="Myriad Pro" w:hAnsi="Myriad Pro" w:cs="Myriad Pro"/>
          <w:b/>
          <w:color w:val="211D1E"/>
          <w:sz w:val="28"/>
          <w:szCs w:val="28"/>
        </w:rPr>
        <w:t>)/</w:t>
      </w:r>
      <w:r w:rsidRPr="002530C9">
        <w:rPr>
          <w:rFonts w:ascii="Myriad Pro" w:hAnsi="Myriad Pro" w:cs="Myriad Pro"/>
          <w:b/>
          <w:color w:val="211D1E"/>
          <w:sz w:val="28"/>
          <w:szCs w:val="28"/>
        </w:rPr>
        <w:t>(Z</w:t>
      </w:r>
      <w:r w:rsidRPr="002530C9">
        <w:rPr>
          <w:rFonts w:ascii="Myriad Pro" w:hAnsi="Myriad Pro" w:cs="Myriad Pro"/>
          <w:b/>
          <w:color w:val="211D1E"/>
          <w:sz w:val="28"/>
          <w:szCs w:val="28"/>
          <w:vertAlign w:val="subscript"/>
        </w:rPr>
        <w:t>90</w:t>
      </w:r>
      <w:r w:rsidRPr="002530C9">
        <w:rPr>
          <w:rFonts w:ascii="Myriad Pro" w:hAnsi="Myriad Pro" w:cs="Myriad Pro"/>
          <w:b/>
          <w:color w:val="211D1E"/>
          <w:sz w:val="28"/>
          <w:szCs w:val="28"/>
        </w:rPr>
        <w:t>– Z</w:t>
      </w:r>
      <w:r w:rsidRPr="002530C9">
        <w:rPr>
          <w:rFonts w:ascii="Myriad Pro" w:hAnsi="Myriad Pro" w:cs="Myriad Pro"/>
          <w:b/>
          <w:color w:val="211D1E"/>
          <w:sz w:val="28"/>
          <w:szCs w:val="28"/>
          <w:vertAlign w:val="subscript"/>
        </w:rPr>
        <w:t>10</w:t>
      </w:r>
      <w:r w:rsidRPr="002530C9">
        <w:rPr>
          <w:rFonts w:ascii="Myriad Pro" w:hAnsi="Myriad Pro" w:cs="Myriad Pro"/>
          <w:b/>
          <w:color w:val="211D1E"/>
          <w:sz w:val="28"/>
          <w:szCs w:val="28"/>
        </w:rPr>
        <w:t xml:space="preserve">) </w:t>
      </w:r>
      <w:r w:rsidR="002530C9">
        <w:rPr>
          <w:rFonts w:ascii="Myriad Pro" w:hAnsi="Myriad Pro" w:cs="Myriad Pro"/>
          <w:b/>
          <w:color w:val="211D1E"/>
          <w:sz w:val="28"/>
          <w:szCs w:val="28"/>
        </w:rPr>
        <w:t xml:space="preserve">               </w:t>
      </w:r>
      <w:r w:rsidRPr="00917689">
        <w:rPr>
          <w:rFonts w:ascii="Myriad Pro" w:hAnsi="Myriad Pro" w:cs="Myriad Pro"/>
          <w:b/>
          <w:color w:val="000000"/>
          <w:sz w:val="28"/>
          <w:szCs w:val="28"/>
        </w:rPr>
        <w:t xml:space="preserve">(9) </w:t>
      </w:r>
    </w:p>
    <w:p w:rsidR="00917689" w:rsidRPr="00917689" w:rsidRDefault="00917689" w:rsidP="00917689">
      <w:pPr>
        <w:autoSpaceDE w:val="0"/>
        <w:autoSpaceDN w:val="0"/>
        <w:adjustRightInd w:val="0"/>
        <w:spacing w:after="260" w:line="221" w:lineRule="atLeast"/>
        <w:rPr>
          <w:rFonts w:ascii="Myriad Pro" w:hAnsi="Myriad Pro" w:cs="Myriad Pro"/>
          <w:b/>
          <w:color w:val="000000"/>
          <w:sz w:val="28"/>
          <w:szCs w:val="28"/>
        </w:rPr>
      </w:pPr>
      <w:proofErr w:type="spellStart"/>
      <w:proofErr w:type="gramStart"/>
      <w:r w:rsidRPr="00917689">
        <w:rPr>
          <w:rFonts w:ascii="Myriad Pro" w:hAnsi="Myriad Pro" w:cs="Myriad Pro"/>
          <w:b/>
          <w:color w:val="211D1E"/>
          <w:sz w:val="28"/>
          <w:szCs w:val="28"/>
        </w:rPr>
        <w:t>μ</w:t>
      </w:r>
      <w:r w:rsidRPr="002530C9">
        <w:rPr>
          <w:rFonts w:ascii="Myriad Pro" w:hAnsi="Myriad Pro" w:cs="Myriad Pro"/>
          <w:b/>
          <w:color w:val="211D1E"/>
          <w:sz w:val="28"/>
          <w:szCs w:val="28"/>
          <w:vertAlign w:val="subscript"/>
        </w:rPr>
        <w:t>X</w:t>
      </w:r>
      <w:proofErr w:type="spellEnd"/>
      <w:proofErr w:type="gramEnd"/>
      <w:r w:rsidRPr="002530C9">
        <w:rPr>
          <w:rFonts w:ascii="Myriad Pro" w:hAnsi="Myriad Pro" w:cs="Myriad Pro"/>
          <w:b/>
          <w:color w:val="211D1E"/>
          <w:sz w:val="28"/>
          <w:szCs w:val="28"/>
        </w:rPr>
        <w:t xml:space="preserve"> </w:t>
      </w:r>
      <w:r w:rsidRPr="00917689">
        <w:rPr>
          <w:rFonts w:ascii="Myriad Pro" w:hAnsi="Myriad Pro" w:cs="Myriad Pro"/>
          <w:b/>
          <w:color w:val="211D1E"/>
          <w:sz w:val="28"/>
          <w:szCs w:val="28"/>
        </w:rPr>
        <w:t>= X</w:t>
      </w:r>
      <w:r w:rsidRPr="002530C9">
        <w:rPr>
          <w:rFonts w:ascii="Myriad Pro" w:hAnsi="Myriad Pro" w:cs="Myriad Pro"/>
          <w:b/>
          <w:color w:val="211D1E"/>
          <w:sz w:val="28"/>
          <w:szCs w:val="28"/>
          <w:vertAlign w:val="subscript"/>
        </w:rPr>
        <w:t xml:space="preserve">10 </w:t>
      </w:r>
      <w:r w:rsidRPr="00917689">
        <w:rPr>
          <w:rFonts w:ascii="Myriad Pro" w:hAnsi="Myriad Pro" w:cs="Myriad Pro"/>
          <w:b/>
          <w:color w:val="211D1E"/>
          <w:sz w:val="28"/>
          <w:szCs w:val="28"/>
        </w:rPr>
        <w:t xml:space="preserve">– </w:t>
      </w:r>
      <w:proofErr w:type="spellStart"/>
      <w:r w:rsidRPr="00917689">
        <w:rPr>
          <w:rFonts w:ascii="Myriad Pro" w:hAnsi="Myriad Pro" w:cs="Myriad Pro"/>
          <w:b/>
          <w:color w:val="211D1E"/>
          <w:sz w:val="28"/>
          <w:szCs w:val="28"/>
        </w:rPr>
        <w:t>σ</w:t>
      </w:r>
      <w:r w:rsidRPr="002530C9">
        <w:rPr>
          <w:rFonts w:ascii="Myriad Pro" w:hAnsi="Myriad Pro" w:cs="Myriad Pro"/>
          <w:b/>
          <w:color w:val="211D1E"/>
          <w:sz w:val="28"/>
          <w:szCs w:val="28"/>
          <w:vertAlign w:val="subscript"/>
        </w:rPr>
        <w:t>X</w:t>
      </w:r>
      <w:proofErr w:type="spellEnd"/>
      <w:r w:rsidRPr="002530C9">
        <w:rPr>
          <w:rFonts w:ascii="Myriad Pro" w:hAnsi="Myriad Pro" w:cs="Myriad Pro"/>
          <w:b/>
          <w:color w:val="211D1E"/>
          <w:sz w:val="28"/>
          <w:szCs w:val="28"/>
        </w:rPr>
        <w:t xml:space="preserve"> </w:t>
      </w:r>
      <w:r w:rsidRPr="00917689">
        <w:rPr>
          <w:rFonts w:ascii="Myriad Pro" w:hAnsi="Myriad Pro" w:cs="Myriad Pro"/>
          <w:b/>
          <w:color w:val="211D1E"/>
          <w:sz w:val="28"/>
          <w:szCs w:val="28"/>
        </w:rPr>
        <w:t>Z</w:t>
      </w:r>
      <w:r w:rsidRPr="002530C9">
        <w:rPr>
          <w:rFonts w:ascii="Myriad Pro" w:hAnsi="Myriad Pro" w:cs="Myriad Pro"/>
          <w:b/>
          <w:color w:val="211D1E"/>
          <w:sz w:val="28"/>
          <w:szCs w:val="28"/>
          <w:vertAlign w:val="subscript"/>
        </w:rPr>
        <w:t>10</w:t>
      </w:r>
      <w:r w:rsidR="002530C9">
        <w:rPr>
          <w:rFonts w:ascii="Myriad Pro" w:hAnsi="Myriad Pro" w:cs="Myriad Pro"/>
          <w:b/>
          <w:color w:val="211D1E"/>
          <w:sz w:val="28"/>
          <w:szCs w:val="28"/>
        </w:rPr>
        <w:t xml:space="preserve">          </w:t>
      </w:r>
      <w:r w:rsidRPr="002530C9">
        <w:rPr>
          <w:rFonts w:ascii="Myriad Pro" w:hAnsi="Myriad Pro" w:cs="Myriad Pro"/>
          <w:b/>
          <w:color w:val="211D1E"/>
          <w:sz w:val="28"/>
          <w:szCs w:val="28"/>
        </w:rPr>
        <w:t xml:space="preserve"> </w:t>
      </w:r>
      <w:r w:rsidR="00CA2CE7">
        <w:rPr>
          <w:rFonts w:ascii="Myriad Pro" w:hAnsi="Myriad Pro" w:cs="Myriad Pro"/>
          <w:b/>
          <w:color w:val="211D1E"/>
          <w:sz w:val="28"/>
          <w:szCs w:val="28"/>
        </w:rPr>
        <w:t xml:space="preserve">              </w:t>
      </w:r>
      <w:r w:rsidRPr="00917689">
        <w:rPr>
          <w:rFonts w:ascii="Myriad Pro" w:hAnsi="Myriad Pro" w:cs="Myriad Pro"/>
          <w:b/>
          <w:color w:val="000000"/>
          <w:sz w:val="28"/>
          <w:szCs w:val="28"/>
        </w:rPr>
        <w:t>(10)</w:t>
      </w:r>
    </w:p>
    <w:p w:rsidR="00917689" w:rsidRPr="00917689" w:rsidRDefault="00917689" w:rsidP="00917689">
      <w:pPr>
        <w:autoSpaceDE w:val="0"/>
        <w:autoSpaceDN w:val="0"/>
        <w:adjustRightInd w:val="0"/>
        <w:spacing w:after="260" w:line="221" w:lineRule="atLeast"/>
        <w:rPr>
          <w:rFonts w:ascii="Myriad Pro" w:hAnsi="Myriad Pro" w:cs="Myriad Pro"/>
          <w:color w:val="211D1E"/>
        </w:rPr>
      </w:pPr>
      <w:proofErr w:type="gramStart"/>
      <w:r w:rsidRPr="00917689">
        <w:rPr>
          <w:rFonts w:ascii="Myriad Pro" w:hAnsi="Myriad Pro" w:cs="Myriad Pro"/>
          <w:color w:val="211D1E"/>
        </w:rPr>
        <w:t>where</w:t>
      </w:r>
      <w:proofErr w:type="gramEnd"/>
      <w:r w:rsidRPr="00917689">
        <w:rPr>
          <w:rFonts w:ascii="Myriad Pro" w:hAnsi="Myriad Pro" w:cs="Myriad Pro"/>
          <w:color w:val="211D1E"/>
        </w:rPr>
        <w:t xml:space="preserve"> </w:t>
      </w:r>
      <w:proofErr w:type="spellStart"/>
      <w:r w:rsidRPr="00917689">
        <w:rPr>
          <w:rFonts w:ascii="Myriad Pro" w:hAnsi="Myriad Pro" w:cs="Myriad Pro"/>
          <w:color w:val="211D1E"/>
        </w:rPr>
        <w:t>Z</w:t>
      </w:r>
      <w:r w:rsidRPr="00917689">
        <w:rPr>
          <w:rFonts w:ascii="Myriad Pro" w:hAnsi="Myriad Pro" w:cs="Myriad Pro"/>
          <w:color w:val="211D1E"/>
          <w:sz w:val="12"/>
        </w:rPr>
        <w:t>p</w:t>
      </w:r>
      <w:proofErr w:type="spellEnd"/>
      <w:r w:rsidRPr="00917689">
        <w:rPr>
          <w:rFonts w:ascii="Myriad Pro" w:hAnsi="Myriad Pro" w:cs="Myriad Pro"/>
          <w:color w:val="211D1E"/>
          <w:sz w:val="12"/>
        </w:rPr>
        <w:t xml:space="preserve"> </w:t>
      </w:r>
      <w:r w:rsidRPr="00917689">
        <w:rPr>
          <w:rFonts w:ascii="Myriad Pro" w:hAnsi="Myriad Pro" w:cs="Myriad Pro"/>
          <w:color w:val="211D1E"/>
        </w:rPr>
        <w:t xml:space="preserve">is the </w:t>
      </w:r>
      <w:proofErr w:type="spellStart"/>
      <w:r w:rsidRPr="00917689">
        <w:rPr>
          <w:rFonts w:ascii="Myriad Pro" w:hAnsi="Myriad Pro" w:cs="Myriad Pro"/>
          <w:color w:val="211D1E"/>
        </w:rPr>
        <w:t>P</w:t>
      </w:r>
      <w:r w:rsidRPr="00917689">
        <w:rPr>
          <w:rFonts w:ascii="Myriad Pro" w:hAnsi="Myriad Pro" w:cs="Myriad Pro"/>
          <w:color w:val="211D1E"/>
          <w:sz w:val="12"/>
        </w:rPr>
        <w:t>th</w:t>
      </w:r>
      <w:proofErr w:type="spellEnd"/>
      <w:r w:rsidRPr="00917689">
        <w:rPr>
          <w:rFonts w:ascii="Myriad Pro" w:hAnsi="Myriad Pro" w:cs="Myriad Pro"/>
          <w:color w:val="211D1E"/>
          <w:sz w:val="12"/>
        </w:rPr>
        <w:t xml:space="preserve"> </w:t>
      </w:r>
      <w:r w:rsidRPr="00917689">
        <w:rPr>
          <w:rFonts w:ascii="Myriad Pro" w:hAnsi="Myriad Pro" w:cs="Myriad Pro"/>
          <w:color w:val="211D1E"/>
        </w:rPr>
        <w:t>percentile value of the standard normal distribution. In this case, Z</w:t>
      </w:r>
      <w:r w:rsidRPr="00917689">
        <w:rPr>
          <w:rFonts w:ascii="Myriad Pro" w:hAnsi="Myriad Pro" w:cs="Myriad Pro"/>
          <w:color w:val="211D1E"/>
          <w:sz w:val="12"/>
        </w:rPr>
        <w:t xml:space="preserve">10 </w:t>
      </w:r>
      <w:r w:rsidRPr="00917689">
        <w:rPr>
          <w:rFonts w:ascii="Myriad Pro" w:hAnsi="Myriad Pro" w:cs="Myriad Pro"/>
          <w:color w:val="211D1E"/>
        </w:rPr>
        <w:t>equals -1.28 and Z</w:t>
      </w:r>
      <w:r w:rsidRPr="00917689">
        <w:rPr>
          <w:rFonts w:ascii="Myriad Pro" w:hAnsi="Myriad Pro" w:cs="Myriad Pro"/>
          <w:color w:val="211D1E"/>
          <w:sz w:val="12"/>
        </w:rPr>
        <w:t xml:space="preserve">90 </w:t>
      </w:r>
      <w:r w:rsidRPr="00917689">
        <w:rPr>
          <w:rFonts w:ascii="Myriad Pro" w:hAnsi="Myriad Pro" w:cs="Myriad Pro"/>
          <w:color w:val="211D1E"/>
        </w:rPr>
        <w:t xml:space="preserve">equals 1.28. Note that the standard deviation is computed first using </w:t>
      </w:r>
      <w:proofErr w:type="spellStart"/>
      <w:r w:rsidRPr="00917689">
        <w:rPr>
          <w:rFonts w:ascii="Myriad Pro" w:hAnsi="Myriad Pro" w:cs="Myriad Pro"/>
          <w:color w:val="211D1E"/>
        </w:rPr>
        <w:t>eq</w:t>
      </w:r>
      <w:proofErr w:type="spellEnd"/>
      <w:r w:rsidRPr="00917689">
        <w:rPr>
          <w:rFonts w:ascii="Myriad Pro" w:hAnsi="Myriad Pro" w:cs="Myriad Pro"/>
          <w:color w:val="211D1E"/>
        </w:rPr>
        <w:t xml:space="preserve"> 9, and this value is then used to compute the mean in </w:t>
      </w:r>
      <w:proofErr w:type="spellStart"/>
      <w:r w:rsidRPr="00917689">
        <w:rPr>
          <w:rFonts w:ascii="Myriad Pro" w:hAnsi="Myriad Pro" w:cs="Myriad Pro"/>
          <w:color w:val="211D1E"/>
        </w:rPr>
        <w:t>eq</w:t>
      </w:r>
      <w:proofErr w:type="spellEnd"/>
      <w:r w:rsidRPr="00917689">
        <w:rPr>
          <w:rFonts w:ascii="Myriad Pro" w:hAnsi="Myriad Pro" w:cs="Myriad Pro"/>
          <w:color w:val="211D1E"/>
        </w:rPr>
        <w:t xml:space="preserve"> 10. The values of the moments for X computed using </w:t>
      </w:r>
      <w:proofErr w:type="spellStart"/>
      <w:r w:rsidRPr="00917689">
        <w:rPr>
          <w:rFonts w:ascii="Myriad Pro" w:hAnsi="Myriad Pro" w:cs="Myriad Pro"/>
          <w:color w:val="211D1E"/>
        </w:rPr>
        <w:t>eq</w:t>
      </w:r>
      <w:proofErr w:type="spellEnd"/>
      <w:r w:rsidRPr="00917689">
        <w:rPr>
          <w:rFonts w:ascii="Myriad Pro" w:hAnsi="Myriad Pro" w:cs="Myriad Pro"/>
          <w:color w:val="211D1E"/>
        </w:rPr>
        <w:t xml:space="preserve"> 9 and 10 are shown in Table 6.</w:t>
      </w:r>
    </w:p>
    <w:p w:rsidR="00917689" w:rsidRDefault="002530C9" w:rsidP="00917689">
      <w:pPr>
        <w:autoSpaceDE w:val="0"/>
        <w:autoSpaceDN w:val="0"/>
        <w:adjustRightInd w:val="0"/>
        <w:spacing w:after="260" w:line="221" w:lineRule="atLeast"/>
        <w:rPr>
          <w:rFonts w:ascii="Myriad Pro" w:hAnsi="Myriad Pro" w:cs="Myriad Pro"/>
          <w:color w:val="211D1E"/>
        </w:rPr>
      </w:pPr>
      <w:r>
        <w:rPr>
          <w:rFonts w:ascii="Myriad Pro" w:hAnsi="Myriad Pro" w:cs="Myriad Pro"/>
          <w:noProof/>
          <w:color w:val="211D1E"/>
        </w:rPr>
        <w:lastRenderedPageBreak/>
        <w:drawing>
          <wp:inline distT="0" distB="0" distL="0" distR="0">
            <wp:extent cx="5530475" cy="2752725"/>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srcRect l="62019" t="43766" r="24896" b="35194"/>
                    <a:stretch>
                      <a:fillRect/>
                    </a:stretch>
                  </pic:blipFill>
                  <pic:spPr bwMode="auto">
                    <a:xfrm>
                      <a:off x="0" y="0"/>
                      <a:ext cx="5530475" cy="2752725"/>
                    </a:xfrm>
                    <a:prstGeom prst="rect">
                      <a:avLst/>
                    </a:prstGeom>
                    <a:noFill/>
                    <a:ln w="9525">
                      <a:noFill/>
                      <a:miter lim="800000"/>
                      <a:headEnd/>
                      <a:tailEnd/>
                    </a:ln>
                  </pic:spPr>
                </pic:pic>
              </a:graphicData>
            </a:graphic>
          </wp:inline>
        </w:drawing>
      </w:r>
    </w:p>
    <w:p w:rsidR="00917689" w:rsidRPr="00917689" w:rsidRDefault="00917689" w:rsidP="00917689">
      <w:pPr>
        <w:autoSpaceDE w:val="0"/>
        <w:autoSpaceDN w:val="0"/>
        <w:adjustRightInd w:val="0"/>
        <w:spacing w:after="260" w:line="221" w:lineRule="atLeast"/>
        <w:rPr>
          <w:rFonts w:ascii="Myriad Pro" w:hAnsi="Myriad Pro" w:cs="Myriad Pro"/>
          <w:color w:val="211D1E"/>
        </w:rPr>
      </w:pPr>
      <w:r w:rsidRPr="00917689">
        <w:rPr>
          <w:rFonts w:ascii="Myriad Pro" w:hAnsi="Myriad Pro" w:cs="Myriad Pro"/>
          <w:color w:val="211D1E"/>
        </w:rPr>
        <w:t xml:space="preserve">Monte Carlo sampling, using the commercial program </w:t>
      </w:r>
      <w:proofErr w:type="spellStart"/>
      <w:r w:rsidRPr="00917689">
        <w:rPr>
          <w:rFonts w:ascii="Myriad Pro" w:hAnsi="Myriad Pro" w:cs="Myriad Pro"/>
          <w:color w:val="211D1E"/>
        </w:rPr>
        <w:t>GoldSim</w:t>
      </w:r>
      <w:proofErr w:type="spellEnd"/>
      <w:r w:rsidRPr="00917689">
        <w:rPr>
          <w:rFonts w:ascii="Myriad Pro" w:hAnsi="Myriad Pro" w:cs="Myriad Pro"/>
          <w:color w:val="211D1E"/>
        </w:rPr>
        <w:t>, was run using the mean (</w:t>
      </w:r>
      <w:proofErr w:type="spellStart"/>
      <w:r w:rsidRPr="00917689">
        <w:rPr>
          <w:rFonts w:ascii="Myriad Pro" w:hAnsi="Myriad Pro" w:cs="Myriad Pro"/>
          <w:color w:val="211D1E"/>
        </w:rPr>
        <w:t>μ</w:t>
      </w:r>
      <w:r w:rsidRPr="00917689">
        <w:rPr>
          <w:rFonts w:ascii="Myriad Pro" w:hAnsi="Myriad Pro" w:cs="Myriad Pro"/>
          <w:color w:val="211D1E"/>
          <w:sz w:val="12"/>
        </w:rPr>
        <w:t>x</w:t>
      </w:r>
      <w:proofErr w:type="spellEnd"/>
      <w:r w:rsidRPr="00917689">
        <w:rPr>
          <w:rFonts w:ascii="Myriad Pro" w:hAnsi="Myriad Pro" w:cs="Myriad Pro"/>
          <w:color w:val="211D1E"/>
        </w:rPr>
        <w:t>) and standard deviation (</w:t>
      </w:r>
      <w:proofErr w:type="spellStart"/>
      <w:r w:rsidRPr="00917689">
        <w:rPr>
          <w:rFonts w:ascii="Myriad Pro" w:hAnsi="Myriad Pro" w:cs="Myriad Pro"/>
          <w:color w:val="211D1E"/>
        </w:rPr>
        <w:t>σ</w:t>
      </w:r>
      <w:r w:rsidRPr="00917689">
        <w:rPr>
          <w:rFonts w:ascii="Myriad Pro" w:hAnsi="Myriad Pro" w:cs="Myriad Pro"/>
          <w:color w:val="211D1E"/>
          <w:sz w:val="12"/>
        </w:rPr>
        <w:t>x</w:t>
      </w:r>
      <w:proofErr w:type="spellEnd"/>
      <w:r w:rsidRPr="00917689">
        <w:rPr>
          <w:rFonts w:ascii="Myriad Pro" w:hAnsi="Myriad Pro" w:cs="Myriad Pro"/>
          <w:color w:val="211D1E"/>
        </w:rPr>
        <w:t xml:space="preserve">) values tabulated in Table 6 as input parameters. The respective X values are sampled using normal distributions with a sample size of 5,000 iterations for each. The corresponding values of p are computed using </w:t>
      </w:r>
      <w:proofErr w:type="spellStart"/>
      <w:r w:rsidRPr="00917689">
        <w:rPr>
          <w:rFonts w:ascii="Myriad Pro" w:hAnsi="Myriad Pro" w:cs="Myriad Pro"/>
          <w:color w:val="211D1E"/>
        </w:rPr>
        <w:t>eq</w:t>
      </w:r>
      <w:proofErr w:type="spellEnd"/>
      <w:r w:rsidRPr="00917689">
        <w:rPr>
          <w:rFonts w:ascii="Myriad Pro" w:hAnsi="Myriad Pro" w:cs="Myriad Pro"/>
          <w:color w:val="211D1E"/>
        </w:rPr>
        <w:t xml:space="preserve"> </w:t>
      </w:r>
      <w:proofErr w:type="gramStart"/>
      <w:r w:rsidRPr="00917689">
        <w:rPr>
          <w:rFonts w:ascii="Myriad Pro" w:hAnsi="Myriad Pro" w:cs="Myriad Pro"/>
          <w:color w:val="211D1E"/>
        </w:rPr>
        <w:t>8,</w:t>
      </w:r>
      <w:proofErr w:type="gramEnd"/>
      <w:r w:rsidRPr="00917689">
        <w:rPr>
          <w:rFonts w:ascii="Myriad Pro" w:hAnsi="Myriad Pro" w:cs="Myriad Pro"/>
          <w:color w:val="211D1E"/>
        </w:rPr>
        <w:t xml:space="preserve"> and the individual p values are multiplied together to determine the storage efficiency factor E as shown in </w:t>
      </w:r>
      <w:proofErr w:type="spellStart"/>
      <w:r w:rsidRPr="00917689">
        <w:rPr>
          <w:rFonts w:ascii="Myriad Pro" w:hAnsi="Myriad Pro" w:cs="Myriad Pro"/>
          <w:color w:val="211D1E"/>
        </w:rPr>
        <w:t>eq</w:t>
      </w:r>
      <w:proofErr w:type="spellEnd"/>
      <w:r w:rsidRPr="00917689">
        <w:rPr>
          <w:rFonts w:ascii="Myriad Pro" w:hAnsi="Myriad Pro" w:cs="Myriad Pro"/>
          <w:color w:val="211D1E"/>
        </w:rPr>
        <w:t xml:space="preserve"> 11: </w:t>
      </w:r>
    </w:p>
    <w:p w:rsidR="00917689" w:rsidRPr="00917689" w:rsidRDefault="00917689" w:rsidP="00917689">
      <w:pPr>
        <w:autoSpaceDE w:val="0"/>
        <w:autoSpaceDN w:val="0"/>
        <w:adjustRightInd w:val="0"/>
        <w:spacing w:after="260" w:line="221" w:lineRule="atLeast"/>
        <w:rPr>
          <w:rFonts w:ascii="Myriad Pro" w:hAnsi="Myriad Pro" w:cs="Myriad Pro"/>
          <w:b/>
          <w:color w:val="211D1E"/>
          <w:sz w:val="28"/>
          <w:szCs w:val="28"/>
        </w:rPr>
      </w:pPr>
      <w:r w:rsidRPr="00917689">
        <w:rPr>
          <w:rFonts w:ascii="Myriad Pro" w:hAnsi="Myriad Pro" w:cs="Myriad Pro"/>
          <w:b/>
          <w:color w:val="211D1E"/>
          <w:sz w:val="28"/>
          <w:szCs w:val="28"/>
        </w:rPr>
        <w:t>E = p (</w:t>
      </w:r>
      <w:proofErr w:type="spellStart"/>
      <w:r w:rsidRPr="0091768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An</w:t>
      </w:r>
      <w:proofErr w:type="spellEnd"/>
      <w:r w:rsidRPr="002530C9">
        <w:rPr>
          <w:rFonts w:ascii="Myriad Pro" w:hAnsi="Myriad Pro" w:cs="Myriad Pro"/>
          <w:b/>
          <w:color w:val="211D1E"/>
          <w:sz w:val="28"/>
          <w:szCs w:val="28"/>
          <w:vertAlign w:val="subscript"/>
        </w:rPr>
        <w:t>/</w:t>
      </w:r>
      <w:proofErr w:type="gramStart"/>
      <w:r w:rsidRPr="002530C9">
        <w:rPr>
          <w:rFonts w:ascii="Myriad Pro" w:hAnsi="Myriad Pro" w:cs="Myriad Pro"/>
          <w:b/>
          <w:color w:val="211D1E"/>
          <w:sz w:val="28"/>
          <w:szCs w:val="28"/>
          <w:vertAlign w:val="subscript"/>
        </w:rPr>
        <w:t>At</w:t>
      </w:r>
      <w:proofErr w:type="gramEnd"/>
      <w:r w:rsidRPr="00917689">
        <w:rPr>
          <w:rFonts w:ascii="Myriad Pro" w:hAnsi="Myriad Pro" w:cs="Myriad Pro"/>
          <w:b/>
          <w:color w:val="211D1E"/>
          <w:sz w:val="28"/>
          <w:szCs w:val="28"/>
        </w:rPr>
        <w:t>) p (</w:t>
      </w:r>
      <w:proofErr w:type="spellStart"/>
      <w:r w:rsidRPr="0091768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hn</w:t>
      </w:r>
      <w:proofErr w:type="spellEnd"/>
      <w:r w:rsidRPr="002530C9">
        <w:rPr>
          <w:rFonts w:ascii="Myriad Pro" w:hAnsi="Myriad Pro" w:cs="Myriad Pro"/>
          <w:b/>
          <w:color w:val="211D1E"/>
          <w:sz w:val="28"/>
          <w:szCs w:val="28"/>
          <w:vertAlign w:val="subscript"/>
        </w:rPr>
        <w:t>/hg</w:t>
      </w:r>
      <w:r w:rsidRPr="00917689">
        <w:rPr>
          <w:rFonts w:ascii="Myriad Pro" w:hAnsi="Myriad Pro" w:cs="Myriad Pro"/>
          <w:b/>
          <w:color w:val="211D1E"/>
          <w:sz w:val="28"/>
          <w:szCs w:val="28"/>
        </w:rPr>
        <w:t>) p (</w:t>
      </w:r>
      <w:proofErr w:type="spellStart"/>
      <w:r w:rsidRPr="0091768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φe</w:t>
      </w:r>
      <w:proofErr w:type="spellEnd"/>
      <w:r w:rsidRPr="002530C9">
        <w:rPr>
          <w:rFonts w:ascii="Myriad Pro" w:hAnsi="Myriad Pro" w:cs="Myriad Pro"/>
          <w:b/>
          <w:color w:val="211D1E"/>
          <w:sz w:val="28"/>
          <w:szCs w:val="28"/>
          <w:vertAlign w:val="subscript"/>
        </w:rPr>
        <w:t>/</w:t>
      </w:r>
      <w:proofErr w:type="spellStart"/>
      <w:r w:rsidRPr="002530C9">
        <w:rPr>
          <w:rFonts w:ascii="Myriad Pro" w:hAnsi="Myriad Pro" w:cs="Myriad Pro"/>
          <w:b/>
          <w:color w:val="211D1E"/>
          <w:sz w:val="28"/>
          <w:szCs w:val="28"/>
          <w:vertAlign w:val="subscript"/>
        </w:rPr>
        <w:t>σtot</w:t>
      </w:r>
      <w:proofErr w:type="spellEnd"/>
      <w:r w:rsidRPr="00917689">
        <w:rPr>
          <w:rFonts w:ascii="Myriad Pro" w:hAnsi="Myriad Pro" w:cs="Myriad Pro"/>
          <w:b/>
          <w:color w:val="211D1E"/>
          <w:sz w:val="28"/>
          <w:szCs w:val="28"/>
        </w:rPr>
        <w:t>) p (</w:t>
      </w:r>
      <w:proofErr w:type="spellStart"/>
      <w:r w:rsidRPr="0091768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v</w:t>
      </w:r>
      <w:proofErr w:type="spellEnd"/>
      <w:r w:rsidRPr="00917689">
        <w:rPr>
          <w:rFonts w:ascii="Myriad Pro" w:hAnsi="Myriad Pro" w:cs="Myriad Pro"/>
          <w:b/>
          <w:color w:val="211D1E"/>
          <w:sz w:val="28"/>
          <w:szCs w:val="28"/>
        </w:rPr>
        <w:t>) p (E</w:t>
      </w:r>
      <w:r w:rsidRPr="002530C9">
        <w:rPr>
          <w:rFonts w:ascii="Myriad Pro" w:hAnsi="Myriad Pro" w:cs="Myriad Pro"/>
          <w:b/>
          <w:color w:val="211D1E"/>
          <w:sz w:val="28"/>
          <w:szCs w:val="28"/>
          <w:vertAlign w:val="subscript"/>
        </w:rPr>
        <w:t>d</w:t>
      </w:r>
      <w:r w:rsidRPr="00917689">
        <w:rPr>
          <w:rFonts w:ascii="Myriad Pro" w:hAnsi="Myriad Pro" w:cs="Myriad Pro"/>
          <w:b/>
          <w:color w:val="211D1E"/>
          <w:sz w:val="28"/>
          <w:szCs w:val="28"/>
        </w:rPr>
        <w:t>) (11)</w:t>
      </w:r>
    </w:p>
    <w:p w:rsidR="00917689" w:rsidRPr="00917689" w:rsidRDefault="00917689" w:rsidP="00917689">
      <w:pPr>
        <w:autoSpaceDE w:val="0"/>
        <w:autoSpaceDN w:val="0"/>
        <w:adjustRightInd w:val="0"/>
        <w:spacing w:after="260" w:line="221" w:lineRule="atLeast"/>
        <w:rPr>
          <w:rFonts w:ascii="Myriad Pro" w:hAnsi="Myriad Pro" w:cs="Myriad Pro"/>
          <w:color w:val="211D1E"/>
        </w:rPr>
      </w:pPr>
      <w:proofErr w:type="gramStart"/>
      <w:r w:rsidRPr="00917689">
        <w:rPr>
          <w:rFonts w:ascii="Myriad Pro" w:hAnsi="Myriad Pro" w:cs="Myriad Pro"/>
          <w:color w:val="211D1E"/>
        </w:rPr>
        <w:t>or</w:t>
      </w:r>
      <w:proofErr w:type="gramEnd"/>
      <w:r w:rsidRPr="00917689">
        <w:rPr>
          <w:rFonts w:ascii="Myriad Pro" w:hAnsi="Myriad Pro" w:cs="Myriad Pro"/>
          <w:color w:val="211D1E"/>
        </w:rPr>
        <w:t xml:space="preserve"> equivalently, </w:t>
      </w:r>
    </w:p>
    <w:p w:rsidR="00917689" w:rsidRPr="00CA2CE7" w:rsidRDefault="00917689" w:rsidP="00917689">
      <w:pPr>
        <w:rPr>
          <w:b/>
          <w:sz w:val="24"/>
          <w:szCs w:val="24"/>
        </w:rPr>
      </w:pPr>
      <w:r w:rsidRPr="00CA2CE7">
        <w:rPr>
          <w:rFonts w:ascii="Myriad Pro" w:hAnsi="Myriad Pro" w:cs="Myriad Pro"/>
          <w:b/>
          <w:color w:val="211D1E"/>
          <w:sz w:val="24"/>
          <w:szCs w:val="24"/>
        </w:rPr>
        <w:t>E = (</w:t>
      </w:r>
      <w:r w:rsidR="00CA2CE7">
        <w:rPr>
          <w:rFonts w:ascii="Myriad Pro" w:hAnsi="Myriad Pro" w:cs="Myriad Pro"/>
          <w:b/>
          <w:color w:val="211D1E"/>
          <w:sz w:val="24"/>
          <w:szCs w:val="24"/>
        </w:rPr>
        <w:t>1/(</w:t>
      </w:r>
      <w:r w:rsidRPr="00CA2CE7">
        <w:rPr>
          <w:rFonts w:ascii="Myriad Pro" w:hAnsi="Myriad Pro" w:cs="Myriad Pro"/>
          <w:b/>
          <w:color w:val="211D1E"/>
          <w:sz w:val="24"/>
          <w:szCs w:val="24"/>
        </w:rPr>
        <w:t>1 + e</w:t>
      </w:r>
      <w:r w:rsidRPr="00CA2CE7">
        <w:rPr>
          <w:rFonts w:ascii="Myriad Pro" w:hAnsi="Myriad Pro" w:cs="Myriad Pro"/>
          <w:b/>
          <w:color w:val="211D1E"/>
          <w:sz w:val="24"/>
          <w:szCs w:val="24"/>
          <w:vertAlign w:val="superscript"/>
        </w:rPr>
        <w:t>-X(</w:t>
      </w:r>
      <w:proofErr w:type="spellStart"/>
      <w:r w:rsidRPr="00CA2CE7">
        <w:rPr>
          <w:rFonts w:ascii="Myriad Pro" w:hAnsi="Myriad Pro" w:cs="Myriad Pro"/>
          <w:b/>
          <w:color w:val="211D1E"/>
          <w:sz w:val="24"/>
          <w:szCs w:val="24"/>
          <w:vertAlign w:val="superscript"/>
        </w:rPr>
        <w:t>EAn</w:t>
      </w:r>
      <w:proofErr w:type="spellEnd"/>
      <w:r w:rsidRPr="00CA2CE7">
        <w:rPr>
          <w:rFonts w:ascii="Myriad Pro" w:hAnsi="Myriad Pro" w:cs="Myriad Pro"/>
          <w:b/>
          <w:color w:val="211D1E"/>
          <w:sz w:val="24"/>
          <w:szCs w:val="24"/>
          <w:vertAlign w:val="superscript"/>
        </w:rPr>
        <w:t>/At</w:t>
      </w:r>
      <w:r w:rsidRPr="00CA2CE7">
        <w:rPr>
          <w:rFonts w:ascii="Myriad Pro" w:hAnsi="Myriad Pro" w:cs="Myriad Pro"/>
          <w:b/>
          <w:color w:val="211D1E"/>
          <w:sz w:val="24"/>
          <w:szCs w:val="24"/>
        </w:rPr>
        <w:t>))(1 + e</w:t>
      </w:r>
      <w:r w:rsidRPr="00CA2CE7">
        <w:rPr>
          <w:rFonts w:ascii="Myriad Pro" w:hAnsi="Myriad Pro" w:cs="Myriad Pro"/>
          <w:b/>
          <w:color w:val="211D1E"/>
          <w:sz w:val="24"/>
          <w:szCs w:val="24"/>
          <w:vertAlign w:val="superscript"/>
        </w:rPr>
        <w:t>-X(</w:t>
      </w:r>
      <w:proofErr w:type="spellStart"/>
      <w:r w:rsidRPr="00CA2CE7">
        <w:rPr>
          <w:rFonts w:ascii="Myriad Pro" w:hAnsi="Myriad Pro" w:cs="Myriad Pro"/>
          <w:b/>
          <w:color w:val="211D1E"/>
          <w:sz w:val="24"/>
          <w:szCs w:val="24"/>
          <w:vertAlign w:val="superscript"/>
        </w:rPr>
        <w:t>Ehn</w:t>
      </w:r>
      <w:proofErr w:type="spellEnd"/>
      <w:r w:rsidRPr="00CA2CE7">
        <w:rPr>
          <w:rFonts w:ascii="Myriad Pro" w:hAnsi="Myriad Pro" w:cs="Myriad Pro"/>
          <w:b/>
          <w:color w:val="211D1E"/>
          <w:sz w:val="24"/>
          <w:szCs w:val="24"/>
          <w:vertAlign w:val="superscript"/>
        </w:rPr>
        <w:t>/hg</w:t>
      </w:r>
      <w:r w:rsidRPr="00CA2CE7">
        <w:rPr>
          <w:rFonts w:ascii="Myriad Pro" w:hAnsi="Myriad Pro" w:cs="Myriad Pro"/>
          <w:b/>
          <w:color w:val="211D1E"/>
          <w:sz w:val="24"/>
          <w:szCs w:val="24"/>
        </w:rPr>
        <w:t>))(1 + e</w:t>
      </w:r>
      <w:r w:rsidRPr="00CA2CE7">
        <w:rPr>
          <w:rFonts w:ascii="Myriad Pro" w:hAnsi="Myriad Pro" w:cs="Myriad Pro"/>
          <w:b/>
          <w:color w:val="211D1E"/>
          <w:sz w:val="24"/>
          <w:szCs w:val="24"/>
          <w:vertAlign w:val="superscript"/>
        </w:rPr>
        <w:t>-X(</w:t>
      </w:r>
      <w:proofErr w:type="spellStart"/>
      <w:r w:rsidRPr="00CA2CE7">
        <w:rPr>
          <w:rFonts w:ascii="Myriad Pro" w:hAnsi="Myriad Pro" w:cs="Myriad Pro"/>
          <w:b/>
          <w:color w:val="211D1E"/>
          <w:sz w:val="24"/>
          <w:szCs w:val="24"/>
          <w:vertAlign w:val="superscript"/>
        </w:rPr>
        <w:t>Eφe</w:t>
      </w:r>
      <w:proofErr w:type="spellEnd"/>
      <w:r w:rsidRPr="00CA2CE7">
        <w:rPr>
          <w:rFonts w:ascii="Myriad Pro" w:hAnsi="Myriad Pro" w:cs="Myriad Pro"/>
          <w:b/>
          <w:color w:val="211D1E"/>
          <w:sz w:val="24"/>
          <w:szCs w:val="24"/>
          <w:vertAlign w:val="superscript"/>
        </w:rPr>
        <w:t>/</w:t>
      </w:r>
      <w:proofErr w:type="spellStart"/>
      <w:r w:rsidRPr="00CA2CE7">
        <w:rPr>
          <w:rFonts w:ascii="Myriad Pro" w:hAnsi="Myriad Pro" w:cs="Myriad Pro"/>
          <w:b/>
          <w:color w:val="211D1E"/>
          <w:sz w:val="24"/>
          <w:szCs w:val="24"/>
          <w:vertAlign w:val="superscript"/>
        </w:rPr>
        <w:t>σtot</w:t>
      </w:r>
      <w:proofErr w:type="spellEnd"/>
      <w:r w:rsidRPr="00CA2CE7">
        <w:rPr>
          <w:rFonts w:ascii="Myriad Pro" w:hAnsi="Myriad Pro" w:cs="Myriad Pro"/>
          <w:b/>
          <w:color w:val="211D1E"/>
          <w:sz w:val="24"/>
          <w:szCs w:val="24"/>
        </w:rPr>
        <w:t>))(1 + e</w:t>
      </w:r>
      <w:r w:rsidRPr="00CA2CE7">
        <w:rPr>
          <w:rFonts w:ascii="Myriad Pro" w:hAnsi="Myriad Pro" w:cs="Myriad Pro"/>
          <w:b/>
          <w:color w:val="211D1E"/>
          <w:sz w:val="24"/>
          <w:szCs w:val="24"/>
          <w:vertAlign w:val="superscript"/>
        </w:rPr>
        <w:t>-X(</w:t>
      </w:r>
      <w:proofErr w:type="spellStart"/>
      <w:r w:rsidRPr="00CA2CE7">
        <w:rPr>
          <w:rFonts w:ascii="Myriad Pro" w:hAnsi="Myriad Pro" w:cs="Myriad Pro"/>
          <w:b/>
          <w:color w:val="211D1E"/>
          <w:sz w:val="24"/>
          <w:szCs w:val="24"/>
          <w:vertAlign w:val="superscript"/>
        </w:rPr>
        <w:t>Ev</w:t>
      </w:r>
      <w:proofErr w:type="spellEnd"/>
      <w:r w:rsidRPr="00CA2CE7">
        <w:rPr>
          <w:rFonts w:ascii="Myriad Pro" w:hAnsi="Myriad Pro" w:cs="Myriad Pro"/>
          <w:b/>
          <w:color w:val="211D1E"/>
          <w:sz w:val="24"/>
          <w:szCs w:val="24"/>
        </w:rPr>
        <w:t>))(1 + e</w:t>
      </w:r>
      <w:r w:rsidRPr="00CA2CE7">
        <w:rPr>
          <w:rFonts w:ascii="Myriad Pro" w:hAnsi="Myriad Pro" w:cs="Myriad Pro"/>
          <w:b/>
          <w:color w:val="211D1E"/>
          <w:sz w:val="24"/>
          <w:szCs w:val="24"/>
          <w:vertAlign w:val="superscript"/>
        </w:rPr>
        <w:t>-X(Ed</w:t>
      </w:r>
      <w:r w:rsidRPr="00CA2CE7">
        <w:rPr>
          <w:rFonts w:ascii="Myriad Pro" w:hAnsi="Myriad Pro" w:cs="Myriad Pro"/>
          <w:b/>
          <w:color w:val="211D1E"/>
          <w:sz w:val="24"/>
          <w:szCs w:val="24"/>
        </w:rPr>
        <w:t>))</w:t>
      </w:r>
    </w:p>
    <w:p w:rsidR="00917689" w:rsidRDefault="00917689" w:rsidP="00917689">
      <w:pPr>
        <w:rPr>
          <w:rFonts w:ascii="Myriad Pro" w:hAnsi="Myriad Pro" w:cs="Myriad Pro"/>
          <w:color w:val="211D1E"/>
        </w:rPr>
      </w:pPr>
      <w:r w:rsidRPr="00917689">
        <w:rPr>
          <w:rFonts w:ascii="Myriad Pro" w:hAnsi="Myriad Pro" w:cs="Myriad Pro"/>
          <w:color w:val="211D1E"/>
        </w:rPr>
        <w:t>A value of E is thus obtained for each of the 5,000 simulations, and the overall percentiles for the computed E are then estimated. Ranking from smallest to largest, the 500</w:t>
      </w:r>
      <w:r w:rsidRPr="00917689">
        <w:rPr>
          <w:rFonts w:ascii="Myriad Pro" w:hAnsi="Myriad Pro" w:cs="Myriad Pro"/>
          <w:color w:val="211D1E"/>
          <w:sz w:val="12"/>
        </w:rPr>
        <w:t xml:space="preserve">th </w:t>
      </w:r>
      <w:r w:rsidRPr="00917689">
        <w:rPr>
          <w:rFonts w:ascii="Myriad Pro" w:hAnsi="Myriad Pro" w:cs="Myriad Pro"/>
          <w:color w:val="211D1E"/>
        </w:rPr>
        <w:t>result corresponds to P</w:t>
      </w:r>
      <w:r w:rsidRPr="00917689">
        <w:rPr>
          <w:rFonts w:ascii="Myriad Pro" w:hAnsi="Myriad Pro" w:cs="Myriad Pro"/>
          <w:color w:val="211D1E"/>
          <w:sz w:val="12"/>
        </w:rPr>
        <w:t>10</w:t>
      </w:r>
      <w:r w:rsidRPr="00917689">
        <w:rPr>
          <w:rFonts w:ascii="Myriad Pro" w:hAnsi="Myriad Pro" w:cs="Myriad Pro"/>
          <w:color w:val="211D1E"/>
        </w:rPr>
        <w:t>, the 2,500</w:t>
      </w:r>
      <w:r w:rsidRPr="00917689">
        <w:rPr>
          <w:rFonts w:ascii="Myriad Pro" w:hAnsi="Myriad Pro" w:cs="Myriad Pro"/>
          <w:color w:val="211D1E"/>
          <w:sz w:val="12"/>
        </w:rPr>
        <w:t xml:space="preserve">th </w:t>
      </w:r>
      <w:r w:rsidRPr="00917689">
        <w:rPr>
          <w:rFonts w:ascii="Myriad Pro" w:hAnsi="Myriad Pro" w:cs="Myriad Pro"/>
          <w:color w:val="211D1E"/>
        </w:rPr>
        <w:t>result corresponds to P</w:t>
      </w:r>
      <w:r w:rsidRPr="00917689">
        <w:rPr>
          <w:rFonts w:ascii="Myriad Pro" w:hAnsi="Myriad Pro" w:cs="Myriad Pro"/>
          <w:color w:val="211D1E"/>
          <w:sz w:val="12"/>
        </w:rPr>
        <w:t>50</w:t>
      </w:r>
      <w:r w:rsidRPr="00917689">
        <w:rPr>
          <w:rFonts w:ascii="Myriad Pro" w:hAnsi="Myriad Pro" w:cs="Myriad Pro"/>
          <w:color w:val="211D1E"/>
        </w:rPr>
        <w:t>, and the 4,500</w:t>
      </w:r>
      <w:r w:rsidRPr="00917689">
        <w:rPr>
          <w:rFonts w:ascii="Myriad Pro" w:hAnsi="Myriad Pro" w:cs="Myriad Pro"/>
          <w:color w:val="211D1E"/>
          <w:sz w:val="12"/>
        </w:rPr>
        <w:t xml:space="preserve">th </w:t>
      </w:r>
      <w:r w:rsidRPr="00917689">
        <w:rPr>
          <w:rFonts w:ascii="Myriad Pro" w:hAnsi="Myriad Pro" w:cs="Myriad Pro"/>
          <w:color w:val="211D1E"/>
        </w:rPr>
        <w:t>result corresponds to P</w:t>
      </w:r>
      <w:r w:rsidRPr="00917689">
        <w:rPr>
          <w:rFonts w:ascii="Myriad Pro" w:hAnsi="Myriad Pro" w:cs="Myriad Pro"/>
          <w:color w:val="211D1E"/>
          <w:sz w:val="12"/>
        </w:rPr>
        <w:t>90</w:t>
      </w:r>
      <w:r w:rsidRPr="00917689">
        <w:rPr>
          <w:rFonts w:ascii="Myriad Pro" w:hAnsi="Myriad Pro" w:cs="Myriad Pro"/>
          <w:color w:val="211D1E"/>
        </w:rPr>
        <w:t>. These results are shown in Table 7.</w:t>
      </w:r>
    </w:p>
    <w:p w:rsidR="00917689" w:rsidRDefault="002530C9" w:rsidP="00917689">
      <w:pPr>
        <w:rPr>
          <w:rFonts w:ascii="Myriad Pro" w:hAnsi="Myriad Pro" w:cs="Myriad Pro"/>
          <w:color w:val="211D1E"/>
        </w:rPr>
      </w:pPr>
      <w:r>
        <w:rPr>
          <w:rFonts w:ascii="Myriad Pro" w:hAnsi="Myriad Pro" w:cs="Myriad Pro"/>
          <w:noProof/>
          <w:color w:val="211D1E"/>
        </w:rPr>
        <w:drawing>
          <wp:inline distT="0" distB="0" distL="0" distR="0">
            <wp:extent cx="3571875" cy="2259319"/>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srcRect l="78686" t="27979" r="12969" b="54951"/>
                    <a:stretch>
                      <a:fillRect/>
                    </a:stretch>
                  </pic:blipFill>
                  <pic:spPr bwMode="auto">
                    <a:xfrm>
                      <a:off x="0" y="0"/>
                      <a:ext cx="3571875" cy="2259319"/>
                    </a:xfrm>
                    <a:prstGeom prst="rect">
                      <a:avLst/>
                    </a:prstGeom>
                    <a:noFill/>
                    <a:ln w="9525">
                      <a:noFill/>
                      <a:miter lim="800000"/>
                      <a:headEnd/>
                      <a:tailEnd/>
                    </a:ln>
                  </pic:spPr>
                </pic:pic>
              </a:graphicData>
            </a:graphic>
          </wp:inline>
        </w:drawing>
      </w:r>
    </w:p>
    <w:p w:rsidR="002530C9" w:rsidRPr="002530C9" w:rsidRDefault="002530C9" w:rsidP="002530C9">
      <w:pPr>
        <w:autoSpaceDE w:val="0"/>
        <w:autoSpaceDN w:val="0"/>
        <w:adjustRightInd w:val="0"/>
        <w:spacing w:after="260" w:line="221" w:lineRule="atLeast"/>
        <w:rPr>
          <w:rFonts w:ascii="Myriad Pro" w:hAnsi="Myriad Pro" w:cs="Myriad Pro"/>
          <w:color w:val="211D1E"/>
        </w:rPr>
      </w:pPr>
      <w:r w:rsidRPr="002530C9">
        <w:rPr>
          <w:rFonts w:ascii="Myriad Pro" w:hAnsi="Myriad Pro" w:cs="Myriad Pro"/>
          <w:color w:val="211D1E"/>
        </w:rPr>
        <w:lastRenderedPageBreak/>
        <w:t xml:space="preserve">The overall efficiency for saline formations ranges from 0.40 to 5.5 percent for the three different lithologies over the 10 and 90 percent probability range, respectively. These efficiency factors are based on documented ranges derived from oil and gas reservoirs and numerical simulations (IEA, 2009). With previous versions of the </w:t>
      </w:r>
      <w:r w:rsidRPr="002530C9">
        <w:rPr>
          <w:rFonts w:ascii="Myriad Pro" w:hAnsi="Myriad Pro" w:cs="Myriad Pro"/>
          <w:i/>
          <w:iCs/>
          <w:color w:val="211D1E"/>
        </w:rPr>
        <w:t>Carbon Sequestration Atlas of the United States and Canada</w:t>
      </w:r>
      <w:r w:rsidRPr="002530C9">
        <w:rPr>
          <w:rFonts w:ascii="Myriad Pro" w:hAnsi="Myriad Pro" w:cs="Myriad Pro"/>
          <w:color w:val="211D1E"/>
        </w:rPr>
        <w:t>, geologic and displacement parameters were not based on documented ranges (DOE-NETL, 2006, 2008). These saline formation efficiency factors ranged between 1 and 4 percent over the P</w:t>
      </w:r>
      <w:r w:rsidRPr="002530C9">
        <w:rPr>
          <w:rFonts w:ascii="Myriad Pro" w:hAnsi="Myriad Pro" w:cs="Myriad Pro"/>
          <w:color w:val="211D1E"/>
          <w:sz w:val="12"/>
        </w:rPr>
        <w:t xml:space="preserve">15 </w:t>
      </w:r>
      <w:r w:rsidRPr="002530C9">
        <w:rPr>
          <w:rFonts w:ascii="Myriad Pro" w:hAnsi="Myriad Pro" w:cs="Myriad Pro"/>
          <w:color w:val="211D1E"/>
        </w:rPr>
        <w:t>and P</w:t>
      </w:r>
      <w:r w:rsidRPr="002530C9">
        <w:rPr>
          <w:rFonts w:ascii="Myriad Pro" w:hAnsi="Myriad Pro" w:cs="Myriad Pro"/>
          <w:color w:val="211D1E"/>
          <w:sz w:val="12"/>
        </w:rPr>
        <w:t xml:space="preserve">85 </w:t>
      </w:r>
      <w:r w:rsidRPr="002530C9">
        <w:rPr>
          <w:rFonts w:ascii="Myriad Pro" w:hAnsi="Myriad Pro" w:cs="Myriad Pro"/>
          <w:color w:val="211D1E"/>
        </w:rPr>
        <w:t>percent probability range (DOE-NETL, 2006, 2008). When undocumented ranges for saline formations for previous editions of the Atlas (DOE-NETL, 2006, 2008) were applied using the log odds method described here, the P</w:t>
      </w:r>
      <w:r w:rsidRPr="002530C9">
        <w:rPr>
          <w:rFonts w:ascii="Myriad Pro" w:hAnsi="Myriad Pro" w:cs="Myriad Pro"/>
          <w:color w:val="211D1E"/>
          <w:sz w:val="12"/>
        </w:rPr>
        <w:t>10</w:t>
      </w:r>
      <w:r w:rsidRPr="002530C9">
        <w:rPr>
          <w:rFonts w:ascii="Myriad Pro" w:hAnsi="Myriad Pro" w:cs="Myriad Pro"/>
          <w:color w:val="211D1E"/>
        </w:rPr>
        <w:t>, P</w:t>
      </w:r>
      <w:r w:rsidRPr="002530C9">
        <w:rPr>
          <w:rFonts w:ascii="Myriad Pro" w:hAnsi="Myriad Pro" w:cs="Myriad Pro"/>
          <w:color w:val="211D1E"/>
          <w:sz w:val="12"/>
        </w:rPr>
        <w:t>50</w:t>
      </w:r>
      <w:r w:rsidRPr="002530C9">
        <w:rPr>
          <w:rFonts w:ascii="Myriad Pro" w:hAnsi="Myriad Pro" w:cs="Myriad Pro"/>
          <w:color w:val="211D1E"/>
        </w:rPr>
        <w:t>, and P</w:t>
      </w:r>
      <w:r w:rsidRPr="002530C9">
        <w:rPr>
          <w:rFonts w:ascii="Myriad Pro" w:hAnsi="Myriad Pro" w:cs="Myriad Pro"/>
          <w:color w:val="211D1E"/>
          <w:sz w:val="12"/>
        </w:rPr>
        <w:t xml:space="preserve">90 </w:t>
      </w:r>
      <w:r w:rsidRPr="002530C9">
        <w:rPr>
          <w:rFonts w:ascii="Myriad Pro" w:hAnsi="Myriad Pro" w:cs="Myriad Pro"/>
          <w:color w:val="211D1E"/>
        </w:rPr>
        <w:t>percent probability ranges were 0.51 percent, 2.0 percent, and 5.5 percent, respectively. While the two sets of input ranges generate similar overall efficiency factors for saline formations, the efficiency factors reported here are based on documented P</w:t>
      </w:r>
      <w:r w:rsidRPr="002530C9">
        <w:rPr>
          <w:rFonts w:ascii="Myriad Pro" w:hAnsi="Myriad Pro" w:cs="Myriad Pro"/>
          <w:color w:val="211D1E"/>
          <w:sz w:val="12"/>
        </w:rPr>
        <w:t xml:space="preserve">10 </w:t>
      </w:r>
      <w:r w:rsidRPr="002530C9">
        <w:rPr>
          <w:rFonts w:ascii="Myriad Pro" w:hAnsi="Myriad Pro" w:cs="Myriad Pro"/>
          <w:color w:val="211D1E"/>
        </w:rPr>
        <w:t>and P</w:t>
      </w:r>
      <w:r w:rsidRPr="002530C9">
        <w:rPr>
          <w:rFonts w:ascii="Myriad Pro" w:hAnsi="Myriad Pro" w:cs="Myriad Pro"/>
          <w:color w:val="211D1E"/>
          <w:sz w:val="12"/>
        </w:rPr>
        <w:t xml:space="preserve">90 </w:t>
      </w:r>
      <w:r w:rsidRPr="002530C9">
        <w:rPr>
          <w:rFonts w:ascii="Myriad Pro" w:hAnsi="Myriad Pro" w:cs="Myriad Pro"/>
          <w:color w:val="211D1E"/>
        </w:rPr>
        <w:t xml:space="preserve">ranges of geologic and displacement parameters for </w:t>
      </w:r>
      <w:proofErr w:type="spellStart"/>
      <w:r w:rsidRPr="002530C9">
        <w:rPr>
          <w:rFonts w:ascii="Myriad Pro" w:hAnsi="Myriad Pro" w:cs="Myriad Pro"/>
          <w:color w:val="211D1E"/>
        </w:rPr>
        <w:t>clastics</w:t>
      </w:r>
      <w:proofErr w:type="spellEnd"/>
      <w:r w:rsidRPr="002530C9">
        <w:rPr>
          <w:rFonts w:ascii="Myriad Pro" w:hAnsi="Myriad Pro" w:cs="Myriad Pro"/>
          <w:color w:val="211D1E"/>
        </w:rPr>
        <w:t xml:space="preserve">, dolomite, and limestone lithologies and appropriate distribution functions, log-odds normal in this case, that are constrained to the range between 0 and 1 whereas previous efficiencies were not. </w:t>
      </w:r>
    </w:p>
    <w:p w:rsidR="002530C9" w:rsidRPr="002530C9" w:rsidRDefault="002530C9" w:rsidP="002530C9">
      <w:pPr>
        <w:autoSpaceDE w:val="0"/>
        <w:autoSpaceDN w:val="0"/>
        <w:adjustRightInd w:val="0"/>
        <w:spacing w:after="260" w:line="221" w:lineRule="atLeast"/>
        <w:rPr>
          <w:rFonts w:ascii="Myriad Pro" w:hAnsi="Myriad Pro" w:cs="Myriad Pro"/>
          <w:color w:val="211D1E"/>
        </w:rPr>
      </w:pPr>
      <w:r w:rsidRPr="002530C9">
        <w:rPr>
          <w:rFonts w:ascii="Myriad Pro" w:hAnsi="Myriad Pro" w:cs="Myriad Pro"/>
          <w:color w:val="211D1E"/>
        </w:rPr>
        <w:t xml:space="preserve">In the case where net-to-total area </w:t>
      </w:r>
      <w:proofErr w:type="spellStart"/>
      <w:r w:rsidRPr="002530C9">
        <w:rPr>
          <w:rFonts w:ascii="Myriad Pro" w:hAnsi="Myriad Pro" w:cs="Myriad Pro"/>
          <w:color w:val="211D1E"/>
        </w:rPr>
        <w:t>E</w:t>
      </w:r>
      <w:r w:rsidRPr="002530C9">
        <w:rPr>
          <w:rFonts w:ascii="Myriad Pro" w:hAnsi="Myriad Pro" w:cs="Myriad Pro"/>
          <w:color w:val="211D1E"/>
          <w:sz w:val="12"/>
        </w:rPr>
        <w:t>An</w:t>
      </w:r>
      <w:proofErr w:type="spellEnd"/>
      <w:r w:rsidRPr="002530C9">
        <w:rPr>
          <w:rFonts w:ascii="Myriad Pro" w:hAnsi="Myriad Pro" w:cs="Myriad Pro"/>
          <w:color w:val="211D1E"/>
          <w:sz w:val="12"/>
        </w:rPr>
        <w:t>/</w:t>
      </w:r>
      <w:proofErr w:type="gramStart"/>
      <w:r w:rsidRPr="002530C9">
        <w:rPr>
          <w:rFonts w:ascii="Myriad Pro" w:hAnsi="Myriad Pro" w:cs="Myriad Pro"/>
          <w:color w:val="211D1E"/>
          <w:sz w:val="12"/>
        </w:rPr>
        <w:t>At</w:t>
      </w:r>
      <w:proofErr w:type="gramEnd"/>
      <w:r w:rsidRPr="002530C9">
        <w:rPr>
          <w:rFonts w:ascii="Myriad Pro" w:hAnsi="Myriad Pro" w:cs="Myriad Pro"/>
          <w:color w:val="211D1E"/>
        </w:rPr>
        <w:t xml:space="preserve">, net-to-gross thickness </w:t>
      </w:r>
      <w:proofErr w:type="spellStart"/>
      <w:r w:rsidRPr="002530C9">
        <w:rPr>
          <w:rFonts w:ascii="Myriad Pro" w:hAnsi="Myriad Pro" w:cs="Myriad Pro"/>
          <w:color w:val="211D1E"/>
        </w:rPr>
        <w:t>E</w:t>
      </w:r>
      <w:r w:rsidRPr="002530C9">
        <w:rPr>
          <w:rFonts w:ascii="Myriad Pro" w:hAnsi="Myriad Pro" w:cs="Myriad Pro"/>
          <w:color w:val="211D1E"/>
          <w:sz w:val="12"/>
        </w:rPr>
        <w:t>hn</w:t>
      </w:r>
      <w:proofErr w:type="spellEnd"/>
      <w:r w:rsidRPr="002530C9">
        <w:rPr>
          <w:rFonts w:ascii="Myriad Pro" w:hAnsi="Myriad Pro" w:cs="Myriad Pro"/>
          <w:color w:val="211D1E"/>
          <w:sz w:val="12"/>
        </w:rPr>
        <w:t>/hg</w:t>
      </w:r>
      <w:r w:rsidRPr="002530C9">
        <w:rPr>
          <w:rFonts w:ascii="Myriad Pro" w:hAnsi="Myriad Pro" w:cs="Myriad Pro"/>
          <w:color w:val="211D1E"/>
        </w:rPr>
        <w:t xml:space="preserve">, and effective-to-total porosity </w:t>
      </w:r>
      <w:proofErr w:type="spellStart"/>
      <w:r w:rsidRPr="002530C9">
        <w:rPr>
          <w:rFonts w:ascii="Myriad Pro" w:hAnsi="Myriad Pro" w:cs="Myriad Pro"/>
          <w:color w:val="211D1E"/>
        </w:rPr>
        <w:t>E</w:t>
      </w:r>
      <w:r w:rsidRPr="002530C9">
        <w:rPr>
          <w:rFonts w:ascii="Myriad Pro" w:hAnsi="Myriad Pro" w:cs="Myriad Pro"/>
          <w:color w:val="211D1E"/>
          <w:sz w:val="12"/>
        </w:rPr>
        <w:t>φe</w:t>
      </w:r>
      <w:proofErr w:type="spellEnd"/>
      <w:r w:rsidRPr="002530C9">
        <w:rPr>
          <w:rFonts w:ascii="Myriad Pro" w:hAnsi="Myriad Pro" w:cs="Myriad Pro"/>
          <w:color w:val="211D1E"/>
          <w:sz w:val="12"/>
        </w:rPr>
        <w:t xml:space="preserve">/ </w:t>
      </w:r>
      <w:proofErr w:type="spellStart"/>
      <w:r w:rsidRPr="002530C9">
        <w:rPr>
          <w:rFonts w:ascii="Myriad Pro" w:hAnsi="Myriad Pro" w:cs="Myriad Pro"/>
          <w:color w:val="211D1E"/>
          <w:sz w:val="12"/>
        </w:rPr>
        <w:t>φtot</w:t>
      </w:r>
      <w:proofErr w:type="spellEnd"/>
      <w:r w:rsidRPr="002530C9">
        <w:rPr>
          <w:rFonts w:ascii="Myriad Pro" w:hAnsi="Myriad Pro" w:cs="Myriad Pro"/>
          <w:color w:val="211D1E"/>
          <w:sz w:val="12"/>
        </w:rPr>
        <w:t xml:space="preserve"> </w:t>
      </w:r>
      <w:r w:rsidRPr="002530C9">
        <w:rPr>
          <w:rFonts w:ascii="Myriad Pro" w:hAnsi="Myriad Pro" w:cs="Myriad Pro"/>
          <w:color w:val="211D1E"/>
        </w:rPr>
        <w:t xml:space="preserve">are known for a region or basin, the geologic efficiency values can be used directly in </w:t>
      </w:r>
      <w:proofErr w:type="spellStart"/>
      <w:r w:rsidRPr="002530C9">
        <w:rPr>
          <w:rFonts w:ascii="Myriad Pro" w:hAnsi="Myriad Pro" w:cs="Myriad Pro"/>
          <w:color w:val="211D1E"/>
        </w:rPr>
        <w:t>eq</w:t>
      </w:r>
      <w:proofErr w:type="spellEnd"/>
      <w:r w:rsidRPr="002530C9">
        <w:rPr>
          <w:rFonts w:ascii="Myriad Pro" w:hAnsi="Myriad Pro" w:cs="Myriad Pro"/>
          <w:color w:val="211D1E"/>
        </w:rPr>
        <w:t xml:space="preserve"> 6. In this instance, only the displacement efficiency factor is needed, which ranges between 7.4 and 26 percent over the 10 and 90 percent probability range (Table 8). </w:t>
      </w:r>
    </w:p>
    <w:p w:rsidR="002530C9" w:rsidRPr="002530C9" w:rsidRDefault="002530C9" w:rsidP="002530C9">
      <w:pPr>
        <w:autoSpaceDE w:val="0"/>
        <w:autoSpaceDN w:val="0"/>
        <w:adjustRightInd w:val="0"/>
        <w:spacing w:after="80" w:line="221" w:lineRule="atLeast"/>
        <w:rPr>
          <w:rFonts w:ascii="Myriad Pro" w:hAnsi="Myriad Pro" w:cs="Myriad Pro"/>
          <w:color w:val="211D1E"/>
        </w:rPr>
      </w:pPr>
      <w:r w:rsidRPr="002530C9">
        <w:rPr>
          <w:rFonts w:ascii="Myriad Pro" w:hAnsi="Myriad Pro" w:cs="Myriad Pro"/>
          <w:color w:val="211D1E"/>
        </w:rPr>
        <w:t>Overall, CO</w:t>
      </w:r>
      <w:r w:rsidRPr="002530C9">
        <w:rPr>
          <w:rFonts w:ascii="Myriad Pro" w:hAnsi="Myriad Pro" w:cs="Myriad Pro"/>
          <w:color w:val="211D1E"/>
          <w:sz w:val="12"/>
        </w:rPr>
        <w:t xml:space="preserve">2 </w:t>
      </w:r>
      <w:r w:rsidRPr="002530C9">
        <w:rPr>
          <w:rFonts w:ascii="Myriad Pro" w:hAnsi="Myriad Pro" w:cs="Myriad Pro"/>
          <w:color w:val="211D1E"/>
        </w:rPr>
        <w:t>storage resource estimates for saline formations are calculated from volumetric parameters (</w:t>
      </w:r>
      <w:proofErr w:type="spellStart"/>
      <w:r w:rsidRPr="002530C9">
        <w:rPr>
          <w:rFonts w:ascii="Myriad Pro" w:hAnsi="Myriad Pro" w:cs="Myriad Pro"/>
          <w:color w:val="211D1E"/>
        </w:rPr>
        <w:t>eq</w:t>
      </w:r>
      <w:proofErr w:type="spellEnd"/>
      <w:r w:rsidRPr="002530C9">
        <w:rPr>
          <w:rFonts w:ascii="Myriad Pro" w:hAnsi="Myriad Pro" w:cs="Myriad Pro"/>
          <w:color w:val="211D1E"/>
        </w:rPr>
        <w:t xml:space="preserve"> 2) and efficiency factors (</w:t>
      </w:r>
      <w:proofErr w:type="spellStart"/>
      <w:r w:rsidRPr="002530C9">
        <w:rPr>
          <w:rFonts w:ascii="Myriad Pro" w:hAnsi="Myriad Pro" w:cs="Myriad Pro"/>
          <w:color w:val="211D1E"/>
        </w:rPr>
        <w:t>eq</w:t>
      </w:r>
      <w:proofErr w:type="spellEnd"/>
      <w:r w:rsidRPr="002530C9">
        <w:rPr>
          <w:rFonts w:ascii="Myriad Pro" w:hAnsi="Myriad Pro" w:cs="Myriad Pro"/>
          <w:color w:val="211D1E"/>
        </w:rPr>
        <w:t xml:space="preserve"> 6) over the P</w:t>
      </w:r>
      <w:r w:rsidRPr="002530C9">
        <w:rPr>
          <w:rFonts w:ascii="Myriad Pro" w:hAnsi="Myriad Pro" w:cs="Myriad Pro"/>
          <w:color w:val="211D1E"/>
          <w:sz w:val="12"/>
        </w:rPr>
        <w:t>10</w:t>
      </w:r>
      <w:r w:rsidRPr="002530C9">
        <w:rPr>
          <w:rFonts w:ascii="Myriad Pro" w:hAnsi="Myriad Pro" w:cs="Myriad Pro"/>
          <w:color w:val="211D1E"/>
        </w:rPr>
        <w:t>, P</w:t>
      </w:r>
      <w:r w:rsidRPr="002530C9">
        <w:rPr>
          <w:rFonts w:ascii="Myriad Pro" w:hAnsi="Myriad Pro" w:cs="Myriad Pro"/>
          <w:color w:val="211D1E"/>
          <w:sz w:val="12"/>
        </w:rPr>
        <w:t>50</w:t>
      </w:r>
      <w:r w:rsidRPr="002530C9">
        <w:rPr>
          <w:rFonts w:ascii="Myriad Pro" w:hAnsi="Myriad Pro" w:cs="Myriad Pro"/>
          <w:color w:val="211D1E"/>
        </w:rPr>
        <w:t>, and P</w:t>
      </w:r>
      <w:r w:rsidRPr="002530C9">
        <w:rPr>
          <w:rFonts w:ascii="Myriad Pro" w:hAnsi="Myriad Pro" w:cs="Myriad Pro"/>
          <w:color w:val="211D1E"/>
          <w:sz w:val="12"/>
        </w:rPr>
        <w:t xml:space="preserve">90 </w:t>
      </w:r>
      <w:r w:rsidRPr="002530C9">
        <w:rPr>
          <w:rFonts w:ascii="Myriad Pro" w:hAnsi="Myriad Pro" w:cs="Myriad Pro"/>
          <w:color w:val="211D1E"/>
        </w:rPr>
        <w:t xml:space="preserve">percent probability range (Tables 7 and 8). </w:t>
      </w:r>
    </w:p>
    <w:p w:rsidR="002530C9" w:rsidRPr="002530C9" w:rsidRDefault="002530C9" w:rsidP="002530C9">
      <w:pPr>
        <w:autoSpaceDE w:val="0"/>
        <w:autoSpaceDN w:val="0"/>
        <w:adjustRightInd w:val="0"/>
        <w:spacing w:after="260" w:line="221" w:lineRule="atLeast"/>
        <w:rPr>
          <w:rFonts w:ascii="Myriad Pro" w:hAnsi="Myriad Pro" w:cs="Myriad Pro"/>
          <w:b/>
          <w:color w:val="000000"/>
          <w:sz w:val="28"/>
          <w:szCs w:val="28"/>
        </w:rPr>
      </w:pPr>
      <w:r w:rsidRPr="002530C9">
        <w:rPr>
          <w:rFonts w:ascii="Myriad Pro" w:hAnsi="Myriad Pro" w:cs="Myriad Pro"/>
          <w:b/>
          <w:color w:val="211D1E"/>
          <w:sz w:val="28"/>
          <w:szCs w:val="28"/>
        </w:rPr>
        <w:t>G</w:t>
      </w:r>
      <w:r w:rsidRPr="002530C9">
        <w:rPr>
          <w:rFonts w:ascii="Myriad Pro" w:hAnsi="Myriad Pro" w:cs="Myriad Pro"/>
          <w:b/>
          <w:color w:val="211D1E"/>
          <w:sz w:val="28"/>
          <w:szCs w:val="28"/>
          <w:vertAlign w:val="subscript"/>
        </w:rPr>
        <w:t>CO2</w:t>
      </w:r>
      <w:r w:rsidRPr="002530C9">
        <w:rPr>
          <w:rFonts w:ascii="Myriad Pro" w:hAnsi="Myriad Pro" w:cs="Myriad Pro"/>
          <w:b/>
          <w:color w:val="211D1E"/>
          <w:sz w:val="28"/>
          <w:szCs w:val="28"/>
        </w:rPr>
        <w:t xml:space="preserve"> = </w:t>
      </w:r>
      <w:proofErr w:type="gramStart"/>
      <w:r w:rsidRPr="002530C9">
        <w:rPr>
          <w:rFonts w:ascii="Myriad Pro" w:hAnsi="Myriad Pro" w:cs="Myriad Pro"/>
          <w:b/>
          <w:color w:val="211D1E"/>
          <w:sz w:val="28"/>
          <w:szCs w:val="28"/>
        </w:rPr>
        <w:t>A</w:t>
      </w:r>
      <w:r w:rsidRPr="002530C9">
        <w:rPr>
          <w:rFonts w:ascii="Myriad Pro" w:hAnsi="Myriad Pro" w:cs="Myriad Pro"/>
          <w:b/>
          <w:color w:val="211D1E"/>
          <w:sz w:val="28"/>
          <w:szCs w:val="28"/>
          <w:vertAlign w:val="subscript"/>
        </w:rPr>
        <w:t>t</w:t>
      </w:r>
      <w:proofErr w:type="gramEnd"/>
      <w:r w:rsidRPr="002530C9">
        <w:rPr>
          <w:rFonts w:ascii="Myriad Pro" w:hAnsi="Myriad Pro" w:cs="Myriad Pro"/>
          <w:b/>
          <w:color w:val="211D1E"/>
          <w:sz w:val="28"/>
          <w:szCs w:val="28"/>
        </w:rPr>
        <w:t xml:space="preserve"> h</w:t>
      </w:r>
      <w:r w:rsidRPr="002530C9">
        <w:rPr>
          <w:rFonts w:ascii="Myriad Pro" w:hAnsi="Myriad Pro" w:cs="Myriad Pro"/>
          <w:b/>
          <w:color w:val="211D1E"/>
          <w:sz w:val="28"/>
          <w:szCs w:val="28"/>
          <w:vertAlign w:val="subscript"/>
        </w:rPr>
        <w:t>g</w:t>
      </w:r>
      <w:r w:rsidRPr="002530C9">
        <w:rPr>
          <w:rFonts w:ascii="Myriad Pro" w:hAnsi="Myriad Pro" w:cs="Myriad Pro"/>
          <w:b/>
          <w:color w:val="211D1E"/>
          <w:sz w:val="28"/>
          <w:szCs w:val="28"/>
        </w:rPr>
        <w:t xml:space="preserve"> </w:t>
      </w:r>
      <w:proofErr w:type="spellStart"/>
      <w:r w:rsidRPr="002530C9">
        <w:rPr>
          <w:rFonts w:ascii="Myriad Pro" w:hAnsi="Myriad Pro" w:cs="Myriad Pro"/>
          <w:b/>
          <w:color w:val="211D1E"/>
          <w:sz w:val="28"/>
          <w:szCs w:val="28"/>
        </w:rPr>
        <w:t>φtot</w:t>
      </w:r>
      <w:proofErr w:type="spellEnd"/>
      <w:r w:rsidRPr="002530C9">
        <w:rPr>
          <w:rFonts w:ascii="Myriad Pro" w:hAnsi="Myriad Pro" w:cs="Myriad Pro"/>
          <w:b/>
          <w:color w:val="211D1E"/>
          <w:sz w:val="28"/>
          <w:szCs w:val="28"/>
        </w:rPr>
        <w:t xml:space="preserve"> </w:t>
      </w:r>
      <w:proofErr w:type="spellStart"/>
      <w:r w:rsidRPr="002530C9">
        <w:rPr>
          <w:rFonts w:ascii="Myriad Pro" w:hAnsi="Myriad Pro" w:cs="Myriad Pro"/>
          <w:b/>
          <w:color w:val="211D1E"/>
          <w:sz w:val="28"/>
          <w:szCs w:val="28"/>
        </w:rPr>
        <w:t>ρ</w:t>
      </w:r>
      <w:r w:rsidRPr="002530C9">
        <w:rPr>
          <w:rFonts w:ascii="Myriad Pro" w:hAnsi="Myriad Pro" w:cs="Myriad Pro"/>
          <w:b/>
          <w:color w:val="211D1E"/>
          <w:sz w:val="28"/>
          <w:szCs w:val="28"/>
          <w:vertAlign w:val="subscript"/>
        </w:rPr>
        <w:t>Esaline</w:t>
      </w:r>
      <w:proofErr w:type="spellEnd"/>
      <w:r>
        <w:rPr>
          <w:rFonts w:ascii="Myriad Pro" w:hAnsi="Myriad Pro" w:cs="Myriad Pro"/>
          <w:b/>
          <w:color w:val="211D1E"/>
          <w:sz w:val="28"/>
          <w:szCs w:val="28"/>
        </w:rPr>
        <w:t xml:space="preserve">          </w:t>
      </w:r>
      <w:r w:rsidRPr="002530C9">
        <w:rPr>
          <w:rFonts w:ascii="Myriad Pro" w:hAnsi="Myriad Pro" w:cs="Myriad Pro"/>
          <w:b/>
          <w:color w:val="211D1E"/>
          <w:sz w:val="28"/>
          <w:szCs w:val="28"/>
        </w:rPr>
        <w:t xml:space="preserve"> </w:t>
      </w:r>
      <w:r w:rsidRPr="002530C9">
        <w:rPr>
          <w:rFonts w:ascii="Myriad Pro" w:hAnsi="Myriad Pro" w:cs="Myriad Pro"/>
          <w:b/>
          <w:color w:val="000000"/>
          <w:sz w:val="28"/>
          <w:szCs w:val="28"/>
        </w:rPr>
        <w:t xml:space="preserve">(2) </w:t>
      </w:r>
    </w:p>
    <w:p w:rsidR="002530C9" w:rsidRPr="002530C9" w:rsidRDefault="002530C9" w:rsidP="002530C9">
      <w:pPr>
        <w:autoSpaceDE w:val="0"/>
        <w:autoSpaceDN w:val="0"/>
        <w:adjustRightInd w:val="0"/>
        <w:spacing w:after="180" w:line="221" w:lineRule="atLeast"/>
        <w:rPr>
          <w:rFonts w:ascii="Myriad Pro" w:hAnsi="Myriad Pro" w:cs="Myriad Pro"/>
          <w:b/>
          <w:color w:val="000000"/>
          <w:sz w:val="28"/>
          <w:szCs w:val="28"/>
        </w:rPr>
      </w:pPr>
      <w:r w:rsidRPr="002530C9">
        <w:rPr>
          <w:rFonts w:ascii="Myriad Pro" w:hAnsi="Myriad Pro" w:cs="Myriad Pro"/>
          <w:b/>
          <w:color w:val="211D1E"/>
          <w:sz w:val="28"/>
          <w:szCs w:val="28"/>
        </w:rPr>
        <w:t>P</w:t>
      </w:r>
      <w:r w:rsidRPr="002530C9">
        <w:rPr>
          <w:rFonts w:ascii="Myriad Pro" w:hAnsi="Myriad Pro" w:cs="Myriad Pro"/>
          <w:b/>
          <w:color w:val="211D1E"/>
          <w:sz w:val="28"/>
          <w:szCs w:val="28"/>
          <w:vertAlign w:val="subscript"/>
        </w:rPr>
        <w:t>10</w:t>
      </w:r>
      <w:r w:rsidRPr="002530C9">
        <w:rPr>
          <w:rFonts w:ascii="Myriad Pro" w:hAnsi="Myriad Pro" w:cs="Myriad Pro"/>
          <w:b/>
          <w:color w:val="211D1E"/>
          <w:sz w:val="28"/>
          <w:szCs w:val="28"/>
        </w:rPr>
        <w:t xml:space="preserve"> </w:t>
      </w:r>
      <w:r>
        <w:rPr>
          <w:rFonts w:ascii="Myriad Pro" w:hAnsi="Myriad Pro" w:cs="Myriad Pro"/>
          <w:b/>
          <w:color w:val="211D1E"/>
          <w:sz w:val="28"/>
          <w:szCs w:val="28"/>
        </w:rPr>
        <w:t xml:space="preserve">   </w:t>
      </w:r>
      <w:proofErr w:type="spellStart"/>
      <w:r w:rsidRPr="002530C9">
        <w:rPr>
          <w:rFonts w:ascii="Myriad Pro" w:hAnsi="Myriad Pro" w:cs="Myriad Pro"/>
          <w:b/>
          <w:color w:val="211D1E"/>
          <w:sz w:val="28"/>
          <w:szCs w:val="28"/>
        </w:rPr>
        <w:t>E</w:t>
      </w:r>
      <w:r w:rsidRPr="006815CE">
        <w:rPr>
          <w:rFonts w:ascii="Myriad Pro" w:hAnsi="Myriad Pro" w:cs="Myriad Pro"/>
          <w:b/>
          <w:color w:val="211D1E"/>
          <w:sz w:val="28"/>
          <w:szCs w:val="28"/>
          <w:vertAlign w:val="subscript"/>
        </w:rPr>
        <w:t>s</w:t>
      </w:r>
      <w:r w:rsidRPr="002530C9">
        <w:rPr>
          <w:rFonts w:ascii="Myriad Pro" w:hAnsi="Myriad Pro" w:cs="Myriad Pro"/>
          <w:b/>
          <w:color w:val="211D1E"/>
          <w:sz w:val="28"/>
          <w:szCs w:val="28"/>
          <w:vertAlign w:val="subscript"/>
        </w:rPr>
        <w:t>aline</w:t>
      </w:r>
      <w:proofErr w:type="spellEnd"/>
      <w:r w:rsidRPr="002530C9">
        <w:rPr>
          <w:rFonts w:ascii="Myriad Pro" w:hAnsi="Myriad Pro" w:cs="Myriad Pro"/>
          <w:b/>
          <w:color w:val="211D1E"/>
          <w:sz w:val="28"/>
          <w:szCs w:val="28"/>
        </w:rPr>
        <w:t xml:space="preserve"> =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An</w:t>
      </w:r>
      <w:proofErr w:type="spellEnd"/>
      <w:r w:rsidRPr="002530C9">
        <w:rPr>
          <w:rFonts w:ascii="Myriad Pro" w:hAnsi="Myriad Pro" w:cs="Myriad Pro"/>
          <w:b/>
          <w:color w:val="211D1E"/>
          <w:sz w:val="28"/>
          <w:szCs w:val="28"/>
          <w:vertAlign w:val="subscript"/>
        </w:rPr>
        <w:t xml:space="preserve">/At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hn</w:t>
      </w:r>
      <w:proofErr w:type="spellEnd"/>
      <w:r w:rsidRPr="002530C9">
        <w:rPr>
          <w:rFonts w:ascii="Myriad Pro" w:hAnsi="Myriad Pro" w:cs="Myriad Pro"/>
          <w:b/>
          <w:color w:val="211D1E"/>
          <w:sz w:val="28"/>
          <w:szCs w:val="28"/>
          <w:vertAlign w:val="subscript"/>
        </w:rPr>
        <w:t xml:space="preserve">/hg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φe</w:t>
      </w:r>
      <w:proofErr w:type="spellEnd"/>
      <w:r w:rsidRPr="002530C9">
        <w:rPr>
          <w:rFonts w:ascii="Myriad Pro" w:hAnsi="Myriad Pro" w:cs="Myriad Pro"/>
          <w:b/>
          <w:color w:val="211D1E"/>
          <w:sz w:val="28"/>
          <w:szCs w:val="28"/>
          <w:vertAlign w:val="subscript"/>
        </w:rPr>
        <w:t xml:space="preserve">/ </w:t>
      </w:r>
      <w:proofErr w:type="spellStart"/>
      <w:r w:rsidRPr="002530C9">
        <w:rPr>
          <w:rFonts w:ascii="Myriad Pro" w:hAnsi="Myriad Pro" w:cs="Myriad Pro"/>
          <w:b/>
          <w:color w:val="211D1E"/>
          <w:sz w:val="28"/>
          <w:szCs w:val="28"/>
          <w:vertAlign w:val="subscript"/>
        </w:rPr>
        <w:t>φtot</w:t>
      </w:r>
      <w:proofErr w:type="spellEnd"/>
      <w:r w:rsidRPr="002530C9">
        <w:rPr>
          <w:rFonts w:ascii="Myriad Pro" w:hAnsi="Myriad Pro" w:cs="Myriad Pro"/>
          <w:b/>
          <w:color w:val="211D1E"/>
          <w:sz w:val="28"/>
          <w:szCs w:val="28"/>
          <w:vertAlign w:val="subscript"/>
        </w:rPr>
        <w:t xml:space="preserve"> </w:t>
      </w:r>
      <w:proofErr w:type="spellStart"/>
      <w:proofErr w:type="gram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v</w:t>
      </w:r>
      <w:proofErr w:type="spellEnd"/>
      <w:proofErr w:type="gramEnd"/>
      <w:r w:rsidRPr="002530C9">
        <w:rPr>
          <w:rFonts w:ascii="Myriad Pro" w:hAnsi="Myriad Pro" w:cs="Myriad Pro"/>
          <w:b/>
          <w:color w:val="211D1E"/>
          <w:sz w:val="28"/>
          <w:szCs w:val="28"/>
        </w:rPr>
        <w:t xml:space="preserve"> E</w:t>
      </w:r>
      <w:r w:rsidRPr="002530C9">
        <w:rPr>
          <w:rFonts w:ascii="Myriad Pro" w:hAnsi="Myriad Pro" w:cs="Myriad Pro"/>
          <w:b/>
          <w:color w:val="211D1E"/>
          <w:sz w:val="28"/>
          <w:szCs w:val="28"/>
          <w:vertAlign w:val="subscript"/>
        </w:rPr>
        <w:t>d</w:t>
      </w:r>
      <w:r w:rsidRPr="002530C9">
        <w:rPr>
          <w:rFonts w:ascii="Myriad Pro" w:hAnsi="Myriad Pro" w:cs="Myriad Pro"/>
          <w:b/>
          <w:color w:val="211D1E"/>
          <w:sz w:val="28"/>
          <w:szCs w:val="28"/>
        </w:rPr>
        <w:t xml:space="preserve"> </w:t>
      </w:r>
      <w:r>
        <w:rPr>
          <w:rFonts w:ascii="Myriad Pro" w:hAnsi="Myriad Pro" w:cs="Myriad Pro"/>
          <w:b/>
          <w:color w:val="211D1E"/>
          <w:sz w:val="28"/>
          <w:szCs w:val="28"/>
        </w:rPr>
        <w:t xml:space="preserve">                  </w:t>
      </w:r>
      <w:r w:rsidRPr="002530C9">
        <w:rPr>
          <w:rFonts w:ascii="Myriad Pro" w:hAnsi="Myriad Pro" w:cs="Myriad Pro"/>
          <w:b/>
          <w:color w:val="000000"/>
          <w:sz w:val="28"/>
          <w:szCs w:val="28"/>
        </w:rPr>
        <w:t xml:space="preserve">(6) </w:t>
      </w:r>
    </w:p>
    <w:p w:rsidR="002530C9" w:rsidRPr="002530C9" w:rsidRDefault="002530C9" w:rsidP="002530C9">
      <w:pPr>
        <w:autoSpaceDE w:val="0"/>
        <w:autoSpaceDN w:val="0"/>
        <w:adjustRightInd w:val="0"/>
        <w:spacing w:after="180" w:line="221" w:lineRule="atLeast"/>
        <w:rPr>
          <w:rFonts w:ascii="Myriad Pro" w:hAnsi="Myriad Pro" w:cs="Myriad Pro"/>
          <w:b/>
          <w:color w:val="211D1E"/>
          <w:sz w:val="28"/>
          <w:szCs w:val="28"/>
        </w:rPr>
      </w:pPr>
      <w:r w:rsidRPr="002530C9">
        <w:rPr>
          <w:rFonts w:ascii="Myriad Pro" w:hAnsi="Myriad Pro" w:cs="Myriad Pro"/>
          <w:b/>
          <w:color w:val="211D1E"/>
          <w:sz w:val="28"/>
          <w:szCs w:val="28"/>
        </w:rPr>
        <w:t>P</w:t>
      </w:r>
      <w:r w:rsidRPr="002530C9">
        <w:rPr>
          <w:rFonts w:ascii="Myriad Pro" w:hAnsi="Myriad Pro" w:cs="Myriad Pro"/>
          <w:b/>
          <w:color w:val="211D1E"/>
          <w:sz w:val="28"/>
          <w:szCs w:val="28"/>
          <w:vertAlign w:val="subscript"/>
        </w:rPr>
        <w:t>50</w:t>
      </w:r>
      <w:r>
        <w:rPr>
          <w:rFonts w:ascii="Myriad Pro" w:hAnsi="Myriad Pro" w:cs="Myriad Pro"/>
          <w:b/>
          <w:color w:val="211D1E"/>
          <w:sz w:val="28"/>
          <w:szCs w:val="28"/>
          <w:vertAlign w:val="subscript"/>
        </w:rPr>
        <w:t xml:space="preserve">    </w:t>
      </w:r>
      <w:r w:rsidRPr="002530C9">
        <w:rPr>
          <w:rFonts w:ascii="Myriad Pro" w:hAnsi="Myriad Pro" w:cs="Myriad Pro"/>
          <w:b/>
          <w:color w:val="211D1E"/>
          <w:sz w:val="28"/>
          <w:szCs w:val="28"/>
        </w:rPr>
        <w:t xml:space="preserve">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saline</w:t>
      </w:r>
      <w:proofErr w:type="spellEnd"/>
      <w:r w:rsidRPr="002530C9">
        <w:rPr>
          <w:rFonts w:ascii="Myriad Pro" w:hAnsi="Myriad Pro" w:cs="Myriad Pro"/>
          <w:b/>
          <w:color w:val="211D1E"/>
          <w:sz w:val="28"/>
          <w:szCs w:val="28"/>
          <w:vertAlign w:val="subscript"/>
        </w:rPr>
        <w:t xml:space="preserve"> </w:t>
      </w:r>
      <w:r w:rsidRPr="002530C9">
        <w:rPr>
          <w:rFonts w:ascii="Myriad Pro" w:hAnsi="Myriad Pro" w:cs="Myriad Pro"/>
          <w:b/>
          <w:color w:val="211D1E"/>
          <w:sz w:val="28"/>
          <w:szCs w:val="28"/>
        </w:rPr>
        <w:t xml:space="preserve">=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An</w:t>
      </w:r>
      <w:proofErr w:type="spellEnd"/>
      <w:r w:rsidRPr="002530C9">
        <w:rPr>
          <w:rFonts w:ascii="Myriad Pro" w:hAnsi="Myriad Pro" w:cs="Myriad Pro"/>
          <w:b/>
          <w:color w:val="211D1E"/>
          <w:sz w:val="28"/>
          <w:szCs w:val="28"/>
          <w:vertAlign w:val="subscript"/>
        </w:rPr>
        <w:t xml:space="preserve">/At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hn</w:t>
      </w:r>
      <w:proofErr w:type="spellEnd"/>
      <w:r w:rsidRPr="002530C9">
        <w:rPr>
          <w:rFonts w:ascii="Myriad Pro" w:hAnsi="Myriad Pro" w:cs="Myriad Pro"/>
          <w:b/>
          <w:color w:val="211D1E"/>
          <w:sz w:val="28"/>
          <w:szCs w:val="28"/>
          <w:vertAlign w:val="subscript"/>
        </w:rPr>
        <w:t xml:space="preserve">/hg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φe</w:t>
      </w:r>
      <w:proofErr w:type="spellEnd"/>
      <w:r w:rsidRPr="002530C9">
        <w:rPr>
          <w:rFonts w:ascii="Myriad Pro" w:hAnsi="Myriad Pro" w:cs="Myriad Pro"/>
          <w:b/>
          <w:color w:val="211D1E"/>
          <w:sz w:val="28"/>
          <w:szCs w:val="28"/>
          <w:vertAlign w:val="subscript"/>
        </w:rPr>
        <w:t xml:space="preserve">/ </w:t>
      </w:r>
      <w:proofErr w:type="spellStart"/>
      <w:r w:rsidRPr="002530C9">
        <w:rPr>
          <w:rFonts w:ascii="Myriad Pro" w:hAnsi="Myriad Pro" w:cs="Myriad Pro"/>
          <w:b/>
          <w:color w:val="211D1E"/>
          <w:sz w:val="28"/>
          <w:szCs w:val="28"/>
          <w:vertAlign w:val="subscript"/>
        </w:rPr>
        <w:t>φtot</w:t>
      </w:r>
      <w:proofErr w:type="spellEnd"/>
      <w:r w:rsidRPr="002530C9">
        <w:rPr>
          <w:rFonts w:ascii="Myriad Pro" w:hAnsi="Myriad Pro" w:cs="Myriad Pro"/>
          <w:b/>
          <w:color w:val="211D1E"/>
          <w:sz w:val="28"/>
          <w:szCs w:val="28"/>
          <w:vertAlign w:val="subscript"/>
        </w:rPr>
        <w:t xml:space="preserve"> </w:t>
      </w:r>
      <w:proofErr w:type="spellStart"/>
      <w:proofErr w:type="gram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v</w:t>
      </w:r>
      <w:proofErr w:type="spellEnd"/>
      <w:proofErr w:type="gramEnd"/>
      <w:r w:rsidRPr="002530C9">
        <w:rPr>
          <w:rFonts w:ascii="Myriad Pro" w:hAnsi="Myriad Pro" w:cs="Myriad Pro"/>
          <w:b/>
          <w:color w:val="211D1E"/>
          <w:sz w:val="28"/>
          <w:szCs w:val="28"/>
        </w:rPr>
        <w:t xml:space="preserve"> E</w:t>
      </w:r>
      <w:r w:rsidRPr="002530C9">
        <w:rPr>
          <w:rFonts w:ascii="Myriad Pro" w:hAnsi="Myriad Pro" w:cs="Myriad Pro"/>
          <w:b/>
          <w:color w:val="211D1E"/>
          <w:sz w:val="28"/>
          <w:szCs w:val="28"/>
          <w:vertAlign w:val="subscript"/>
        </w:rPr>
        <w:t>d</w:t>
      </w:r>
      <w:r w:rsidRPr="002530C9">
        <w:rPr>
          <w:rFonts w:ascii="Myriad Pro" w:hAnsi="Myriad Pro" w:cs="Myriad Pro"/>
          <w:b/>
          <w:color w:val="211D1E"/>
          <w:sz w:val="28"/>
          <w:szCs w:val="28"/>
        </w:rPr>
        <w:t xml:space="preserve"> </w:t>
      </w:r>
    </w:p>
    <w:p w:rsidR="00917689" w:rsidRPr="002530C9" w:rsidRDefault="002530C9" w:rsidP="002530C9">
      <w:pPr>
        <w:rPr>
          <w:rFonts w:ascii="Myriad Pro" w:hAnsi="Myriad Pro" w:cs="Myriad Pro"/>
          <w:b/>
          <w:color w:val="211D1E"/>
          <w:sz w:val="28"/>
          <w:szCs w:val="28"/>
        </w:rPr>
      </w:pPr>
      <w:r w:rsidRPr="002530C9">
        <w:rPr>
          <w:rFonts w:ascii="Myriad Pro" w:hAnsi="Myriad Pro" w:cs="Myriad Pro"/>
          <w:b/>
          <w:color w:val="211D1E"/>
          <w:sz w:val="28"/>
          <w:szCs w:val="28"/>
        </w:rPr>
        <w:t>P</w:t>
      </w:r>
      <w:r w:rsidRPr="002530C9">
        <w:rPr>
          <w:rFonts w:ascii="Myriad Pro" w:hAnsi="Myriad Pro" w:cs="Myriad Pro"/>
          <w:b/>
          <w:color w:val="211D1E"/>
          <w:sz w:val="28"/>
          <w:szCs w:val="28"/>
          <w:vertAlign w:val="subscript"/>
        </w:rPr>
        <w:t>90</w:t>
      </w:r>
      <w:r w:rsidRPr="002530C9">
        <w:rPr>
          <w:rFonts w:ascii="Myriad Pro" w:hAnsi="Myriad Pro" w:cs="Myriad Pro"/>
          <w:b/>
          <w:color w:val="211D1E"/>
          <w:sz w:val="28"/>
          <w:szCs w:val="28"/>
        </w:rPr>
        <w:t xml:space="preserve"> </w:t>
      </w:r>
      <w:r>
        <w:rPr>
          <w:rFonts w:ascii="Myriad Pro" w:hAnsi="Myriad Pro" w:cs="Myriad Pro"/>
          <w:b/>
          <w:color w:val="211D1E"/>
          <w:sz w:val="28"/>
          <w:szCs w:val="28"/>
        </w:rPr>
        <w:t xml:space="preserve">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saline</w:t>
      </w:r>
      <w:proofErr w:type="spellEnd"/>
      <w:r w:rsidRPr="002530C9">
        <w:rPr>
          <w:rFonts w:ascii="Myriad Pro" w:hAnsi="Myriad Pro" w:cs="Myriad Pro"/>
          <w:b/>
          <w:color w:val="211D1E"/>
          <w:sz w:val="28"/>
          <w:szCs w:val="28"/>
        </w:rPr>
        <w:t xml:space="preserve"> =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An</w:t>
      </w:r>
      <w:proofErr w:type="spellEnd"/>
      <w:r w:rsidRPr="002530C9">
        <w:rPr>
          <w:rFonts w:ascii="Myriad Pro" w:hAnsi="Myriad Pro" w:cs="Myriad Pro"/>
          <w:b/>
          <w:color w:val="211D1E"/>
          <w:sz w:val="28"/>
          <w:szCs w:val="28"/>
          <w:vertAlign w:val="subscript"/>
        </w:rPr>
        <w:t xml:space="preserve">/At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hn</w:t>
      </w:r>
      <w:proofErr w:type="spellEnd"/>
      <w:r w:rsidRPr="002530C9">
        <w:rPr>
          <w:rFonts w:ascii="Myriad Pro" w:hAnsi="Myriad Pro" w:cs="Myriad Pro"/>
          <w:b/>
          <w:color w:val="211D1E"/>
          <w:sz w:val="28"/>
          <w:szCs w:val="28"/>
          <w:vertAlign w:val="subscript"/>
        </w:rPr>
        <w:t xml:space="preserve">/hg </w:t>
      </w:r>
      <w:proofErr w:type="spell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φe</w:t>
      </w:r>
      <w:proofErr w:type="spellEnd"/>
      <w:r w:rsidRPr="002530C9">
        <w:rPr>
          <w:rFonts w:ascii="Myriad Pro" w:hAnsi="Myriad Pro" w:cs="Myriad Pro"/>
          <w:b/>
          <w:color w:val="211D1E"/>
          <w:sz w:val="28"/>
          <w:szCs w:val="28"/>
          <w:vertAlign w:val="subscript"/>
        </w:rPr>
        <w:t xml:space="preserve">/ </w:t>
      </w:r>
      <w:proofErr w:type="spellStart"/>
      <w:r w:rsidRPr="002530C9">
        <w:rPr>
          <w:rFonts w:ascii="Myriad Pro" w:hAnsi="Myriad Pro" w:cs="Myriad Pro"/>
          <w:b/>
          <w:color w:val="211D1E"/>
          <w:sz w:val="28"/>
          <w:szCs w:val="28"/>
          <w:vertAlign w:val="subscript"/>
        </w:rPr>
        <w:t>φtot</w:t>
      </w:r>
      <w:proofErr w:type="spellEnd"/>
      <w:r w:rsidRPr="002530C9">
        <w:rPr>
          <w:rFonts w:ascii="Myriad Pro" w:hAnsi="Myriad Pro" w:cs="Myriad Pro"/>
          <w:b/>
          <w:color w:val="211D1E"/>
          <w:sz w:val="28"/>
          <w:szCs w:val="28"/>
          <w:vertAlign w:val="subscript"/>
        </w:rPr>
        <w:t xml:space="preserve"> </w:t>
      </w:r>
      <w:proofErr w:type="spellStart"/>
      <w:proofErr w:type="gramStart"/>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v</w:t>
      </w:r>
      <w:proofErr w:type="spellEnd"/>
      <w:proofErr w:type="gramEnd"/>
      <w:r w:rsidRPr="002530C9">
        <w:rPr>
          <w:rFonts w:ascii="Myriad Pro" w:hAnsi="Myriad Pro" w:cs="Myriad Pro"/>
          <w:b/>
          <w:color w:val="211D1E"/>
          <w:sz w:val="28"/>
          <w:szCs w:val="28"/>
          <w:vertAlign w:val="subscript"/>
        </w:rPr>
        <w:t xml:space="preserve"> </w:t>
      </w:r>
      <w:r w:rsidRPr="002530C9">
        <w:rPr>
          <w:rFonts w:ascii="Myriad Pro" w:hAnsi="Myriad Pro" w:cs="Myriad Pro"/>
          <w:b/>
          <w:color w:val="211D1E"/>
          <w:sz w:val="28"/>
          <w:szCs w:val="28"/>
        </w:rPr>
        <w:t>E</w:t>
      </w:r>
      <w:r w:rsidRPr="002530C9">
        <w:rPr>
          <w:rFonts w:ascii="Myriad Pro" w:hAnsi="Myriad Pro" w:cs="Myriad Pro"/>
          <w:b/>
          <w:color w:val="211D1E"/>
          <w:sz w:val="28"/>
          <w:szCs w:val="28"/>
          <w:vertAlign w:val="subscript"/>
        </w:rPr>
        <w:t>d</w:t>
      </w:r>
    </w:p>
    <w:p w:rsidR="002530C9" w:rsidRDefault="002530C9" w:rsidP="002530C9">
      <w:pPr>
        <w:rPr>
          <w:rFonts w:ascii="Myriad Pro" w:hAnsi="Myriad Pro" w:cs="Myriad Pro"/>
          <w:color w:val="211D1E"/>
          <w:sz w:val="12"/>
        </w:rPr>
      </w:pPr>
    </w:p>
    <w:p w:rsidR="002530C9" w:rsidRDefault="002530C9" w:rsidP="002530C9">
      <w:pPr>
        <w:rPr>
          <w:rFonts w:ascii="Myriad Pro" w:hAnsi="Myriad Pro" w:cs="Myriad Pro"/>
          <w:color w:val="211D1E"/>
          <w:sz w:val="12"/>
        </w:rPr>
      </w:pPr>
    </w:p>
    <w:p w:rsidR="002530C9" w:rsidRDefault="002530C9" w:rsidP="002530C9">
      <w:pPr>
        <w:rPr>
          <w:rFonts w:ascii="Myriad Pro" w:hAnsi="Myriad Pro" w:cs="Myriad Pro"/>
          <w:color w:val="211D1E"/>
          <w:sz w:val="12"/>
        </w:rPr>
      </w:pPr>
      <w:r>
        <w:rPr>
          <w:rFonts w:ascii="Myriad Pro" w:hAnsi="Myriad Pro" w:cs="Myriad Pro"/>
          <w:noProof/>
          <w:color w:val="211D1E"/>
          <w:sz w:val="12"/>
        </w:rPr>
        <w:drawing>
          <wp:inline distT="0" distB="0" distL="0" distR="0">
            <wp:extent cx="3867150" cy="2486024"/>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srcRect l="64103" t="20768" r="26923" b="60542"/>
                    <a:stretch>
                      <a:fillRect/>
                    </a:stretch>
                  </pic:blipFill>
                  <pic:spPr bwMode="auto">
                    <a:xfrm>
                      <a:off x="0" y="0"/>
                      <a:ext cx="3867150" cy="2486024"/>
                    </a:xfrm>
                    <a:prstGeom prst="rect">
                      <a:avLst/>
                    </a:prstGeom>
                    <a:noFill/>
                    <a:ln w="9525">
                      <a:noFill/>
                      <a:miter lim="800000"/>
                      <a:headEnd/>
                      <a:tailEnd/>
                    </a:ln>
                  </pic:spPr>
                </pic:pic>
              </a:graphicData>
            </a:graphic>
          </wp:inline>
        </w:drawing>
      </w:r>
    </w:p>
    <w:p w:rsidR="002530C9" w:rsidRDefault="002530C9">
      <w:r w:rsidRPr="002530C9">
        <w:rPr>
          <w:rFonts w:ascii="Myriad Pro" w:hAnsi="Myriad Pro" w:cs="Myriad Pro"/>
          <w:color w:val="211D1E"/>
        </w:rPr>
        <w:lastRenderedPageBreak/>
        <w:t>P</w:t>
      </w:r>
      <w:r w:rsidRPr="002530C9">
        <w:rPr>
          <w:rFonts w:ascii="Myriad Pro" w:hAnsi="Myriad Pro" w:cs="Myriad Pro"/>
          <w:color w:val="211D1E"/>
          <w:sz w:val="12"/>
        </w:rPr>
        <w:t xml:space="preserve">10 </w:t>
      </w:r>
      <w:r w:rsidRPr="002530C9">
        <w:rPr>
          <w:rFonts w:ascii="Myriad Pro" w:hAnsi="Myriad Pro" w:cs="Myriad Pro"/>
          <w:color w:val="211D1E"/>
        </w:rPr>
        <w:t>and P</w:t>
      </w:r>
      <w:r w:rsidRPr="002530C9">
        <w:rPr>
          <w:rFonts w:ascii="Myriad Pro" w:hAnsi="Myriad Pro" w:cs="Myriad Pro"/>
          <w:color w:val="211D1E"/>
          <w:sz w:val="12"/>
        </w:rPr>
        <w:t xml:space="preserve">90 </w:t>
      </w:r>
      <w:r w:rsidRPr="002530C9">
        <w:rPr>
          <w:rFonts w:ascii="Myriad Pro" w:hAnsi="Myriad Pro" w:cs="Myriad Pro"/>
          <w:color w:val="211D1E"/>
        </w:rPr>
        <w:t>serve as nominal lower and upper bounds that demark a plausible range of efficiency factors, defined in a consistent probabilistic manner. If the 10</w:t>
      </w:r>
      <w:r w:rsidRPr="002530C9">
        <w:rPr>
          <w:rFonts w:ascii="Myriad Pro" w:hAnsi="Myriad Pro" w:cs="Myriad Pro"/>
          <w:color w:val="211D1E"/>
          <w:sz w:val="12"/>
        </w:rPr>
        <w:t xml:space="preserve">th </w:t>
      </w:r>
      <w:r w:rsidRPr="002530C9">
        <w:rPr>
          <w:rFonts w:ascii="Myriad Pro" w:hAnsi="Myriad Pro" w:cs="Myriad Pro"/>
          <w:color w:val="211D1E"/>
        </w:rPr>
        <w:t>and 90</w:t>
      </w:r>
      <w:r w:rsidRPr="002530C9">
        <w:rPr>
          <w:rFonts w:ascii="Myriad Pro" w:hAnsi="Myriad Pro" w:cs="Myriad Pro"/>
          <w:color w:val="211D1E"/>
          <w:sz w:val="12"/>
        </w:rPr>
        <w:t xml:space="preserve">th </w:t>
      </w:r>
      <w:r w:rsidRPr="002530C9">
        <w:rPr>
          <w:rFonts w:ascii="Myriad Pro" w:hAnsi="Myriad Pro" w:cs="Myriad Pro"/>
          <w:color w:val="211D1E"/>
        </w:rPr>
        <w:t>percentile values of the individual terms are properly specified for the targeted application, such as geologic storage, and the distributions for each term are independent and reasonably represented by the log-odds normal assumption, then the computed 10</w:t>
      </w:r>
      <w:r w:rsidRPr="002530C9">
        <w:rPr>
          <w:rFonts w:ascii="Myriad Pro" w:hAnsi="Myriad Pro" w:cs="Myriad Pro"/>
          <w:color w:val="211D1E"/>
          <w:sz w:val="12"/>
        </w:rPr>
        <w:t xml:space="preserve">th </w:t>
      </w:r>
      <w:r w:rsidRPr="002530C9">
        <w:rPr>
          <w:rFonts w:ascii="Myriad Pro" w:hAnsi="Myriad Pro" w:cs="Myriad Pro"/>
          <w:color w:val="211D1E"/>
        </w:rPr>
        <w:t>and 90</w:t>
      </w:r>
      <w:r w:rsidRPr="002530C9">
        <w:rPr>
          <w:rFonts w:ascii="Myriad Pro" w:hAnsi="Myriad Pro" w:cs="Myriad Pro"/>
          <w:color w:val="211D1E"/>
          <w:sz w:val="12"/>
        </w:rPr>
        <w:t xml:space="preserve">th </w:t>
      </w:r>
      <w:r w:rsidRPr="002530C9">
        <w:rPr>
          <w:rFonts w:ascii="Myriad Pro" w:hAnsi="Myriad Pro" w:cs="Myriad Pro"/>
          <w:color w:val="211D1E"/>
        </w:rPr>
        <w:t>percentile values for efficiency factors are properly estimated. However, because these limits are based on a combination of data with varying quality and expert judgment, the P</w:t>
      </w:r>
      <w:r w:rsidRPr="002530C9">
        <w:rPr>
          <w:rFonts w:ascii="Myriad Pro" w:hAnsi="Myriad Pro" w:cs="Myriad Pro"/>
          <w:color w:val="211D1E"/>
          <w:sz w:val="12"/>
        </w:rPr>
        <w:t xml:space="preserve">10 </w:t>
      </w:r>
      <w:r w:rsidRPr="002530C9">
        <w:rPr>
          <w:rFonts w:ascii="Myriad Pro" w:hAnsi="Myriad Pro" w:cs="Myriad Pro"/>
          <w:color w:val="211D1E"/>
        </w:rPr>
        <w:t>and P</w:t>
      </w:r>
      <w:r w:rsidRPr="002530C9">
        <w:rPr>
          <w:rFonts w:ascii="Myriad Pro" w:hAnsi="Myriad Pro" w:cs="Myriad Pro"/>
          <w:color w:val="211D1E"/>
          <w:sz w:val="12"/>
        </w:rPr>
        <w:t xml:space="preserve">90 </w:t>
      </w:r>
      <w:r w:rsidRPr="002530C9">
        <w:rPr>
          <w:rFonts w:ascii="Myriad Pro" w:hAnsi="Myriad Pro" w:cs="Myriad Pro"/>
          <w:color w:val="211D1E"/>
        </w:rPr>
        <w:t>limits should be interpreted as general, rather than strictly mathematical, limits. That is, with reasonable 10</w:t>
      </w:r>
      <w:r w:rsidRPr="002530C9">
        <w:rPr>
          <w:rFonts w:ascii="Myriad Pro" w:hAnsi="Myriad Pro" w:cs="Myriad Pro"/>
          <w:color w:val="211D1E"/>
          <w:sz w:val="12"/>
        </w:rPr>
        <w:t xml:space="preserve">th </w:t>
      </w:r>
      <w:r w:rsidRPr="002530C9">
        <w:rPr>
          <w:rFonts w:ascii="Myriad Pro" w:hAnsi="Myriad Pro" w:cs="Myriad Pro"/>
          <w:color w:val="211D1E"/>
        </w:rPr>
        <w:t>and 90</w:t>
      </w:r>
      <w:r w:rsidRPr="002530C9">
        <w:rPr>
          <w:rFonts w:ascii="Myriad Pro" w:hAnsi="Myriad Pro" w:cs="Myriad Pro"/>
          <w:color w:val="211D1E"/>
          <w:sz w:val="12"/>
        </w:rPr>
        <w:t xml:space="preserve">th </w:t>
      </w:r>
      <w:r w:rsidRPr="002530C9">
        <w:rPr>
          <w:rFonts w:ascii="Myriad Pro" w:hAnsi="Myriad Pro" w:cs="Myriad Pro"/>
          <w:color w:val="211D1E"/>
        </w:rPr>
        <w:t>percentile limits chosen for each factor, the results provide reasonable 10</w:t>
      </w:r>
      <w:r w:rsidRPr="002530C9">
        <w:rPr>
          <w:rFonts w:ascii="Myriad Pro" w:hAnsi="Myriad Pro" w:cs="Myriad Pro"/>
          <w:color w:val="211D1E"/>
          <w:sz w:val="12"/>
        </w:rPr>
        <w:t xml:space="preserve">th </w:t>
      </w:r>
      <w:r w:rsidRPr="002530C9">
        <w:rPr>
          <w:rFonts w:ascii="Myriad Pro" w:hAnsi="Myriad Pro" w:cs="Myriad Pro"/>
          <w:color w:val="211D1E"/>
        </w:rPr>
        <w:t>and 90</w:t>
      </w:r>
      <w:r w:rsidRPr="002530C9">
        <w:rPr>
          <w:rFonts w:ascii="Myriad Pro" w:hAnsi="Myriad Pro" w:cs="Myriad Pro"/>
          <w:color w:val="211D1E"/>
          <w:sz w:val="12"/>
        </w:rPr>
        <w:t xml:space="preserve">th </w:t>
      </w:r>
      <w:r w:rsidRPr="002530C9">
        <w:rPr>
          <w:rFonts w:ascii="Myriad Pro" w:hAnsi="Myriad Pro" w:cs="Myriad Pro"/>
          <w:color w:val="211D1E"/>
        </w:rPr>
        <w:t>percentile limits for efficiency factors.</w:t>
      </w:r>
    </w:p>
    <w:sectPr w:rsidR="002530C9" w:rsidSect="003513AF">
      <w:footerReference w:type="default" r:id="rId15"/>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632A" w:rsidRDefault="00EA632A" w:rsidP="003857BC">
      <w:pPr>
        <w:spacing w:after="0" w:line="240" w:lineRule="auto"/>
      </w:pPr>
      <w:r>
        <w:separator/>
      </w:r>
    </w:p>
  </w:endnote>
  <w:endnote w:type="continuationSeparator" w:id="0">
    <w:p w:rsidR="00EA632A" w:rsidRDefault="00EA632A" w:rsidP="003857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Myriad Pro Light">
    <w:altName w:val="Myriad Pro Light"/>
    <w:panose1 w:val="00000000000000000000"/>
    <w:charset w:val="00"/>
    <w:family w:val="swiss"/>
    <w:notTrueType/>
    <w:pitch w:val="default"/>
    <w:sig w:usb0="00000003" w:usb1="00000000" w:usb2="00000000" w:usb3="00000000" w:csb0="00000001" w:csb1="00000000"/>
  </w:font>
  <w:font w:name="Myriad Pro">
    <w:altName w:val="Myriad Pro"/>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130968"/>
      <w:docPartObj>
        <w:docPartGallery w:val="Page Numbers (Bottom of Page)"/>
        <w:docPartUnique/>
      </w:docPartObj>
    </w:sdtPr>
    <w:sdtContent>
      <w:p w:rsidR="003857BC" w:rsidRDefault="00A81731">
        <w:pPr>
          <w:pStyle w:val="Footer"/>
          <w:jc w:val="center"/>
        </w:pPr>
        <w:fldSimple w:instr=" PAGE   \* MERGEFORMAT ">
          <w:r w:rsidR="006C3D3B">
            <w:rPr>
              <w:noProof/>
            </w:rPr>
            <w:t>5</w:t>
          </w:r>
        </w:fldSimple>
      </w:p>
    </w:sdtContent>
  </w:sdt>
  <w:p w:rsidR="003857BC" w:rsidRDefault="003857B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632A" w:rsidRDefault="00EA632A" w:rsidP="003857BC">
      <w:pPr>
        <w:spacing w:after="0" w:line="240" w:lineRule="auto"/>
      </w:pPr>
      <w:r>
        <w:separator/>
      </w:r>
    </w:p>
  </w:footnote>
  <w:footnote w:type="continuationSeparator" w:id="0">
    <w:p w:rsidR="00EA632A" w:rsidRDefault="00EA632A" w:rsidP="003857BC">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footnotePr>
    <w:footnote w:id="-1"/>
    <w:footnote w:id="0"/>
  </w:footnotePr>
  <w:endnotePr>
    <w:endnote w:id="-1"/>
    <w:endnote w:id="0"/>
  </w:endnotePr>
  <w:compat/>
  <w:rsids>
    <w:rsidRoot w:val="003857BC"/>
    <w:rsid w:val="00161964"/>
    <w:rsid w:val="002530C9"/>
    <w:rsid w:val="003513AF"/>
    <w:rsid w:val="003857BC"/>
    <w:rsid w:val="006815CE"/>
    <w:rsid w:val="006C3D3B"/>
    <w:rsid w:val="00917689"/>
    <w:rsid w:val="009A23A6"/>
    <w:rsid w:val="00A81731"/>
    <w:rsid w:val="00CA2CE7"/>
    <w:rsid w:val="00EA632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13AF"/>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81">
    <w:name w:val="Pa81"/>
    <w:basedOn w:val="Normal"/>
    <w:next w:val="Normal"/>
    <w:uiPriority w:val="99"/>
    <w:rsid w:val="003857BC"/>
    <w:pPr>
      <w:autoSpaceDE w:val="0"/>
      <w:autoSpaceDN w:val="0"/>
      <w:adjustRightInd w:val="0"/>
      <w:spacing w:after="0" w:line="301" w:lineRule="atLeast"/>
    </w:pPr>
    <w:rPr>
      <w:rFonts w:ascii="Myriad Pro Light" w:hAnsi="Myriad Pro Light"/>
      <w:sz w:val="24"/>
      <w:szCs w:val="24"/>
    </w:rPr>
  </w:style>
  <w:style w:type="character" w:customStyle="1" w:styleId="A44">
    <w:name w:val="A44"/>
    <w:uiPriority w:val="99"/>
    <w:rsid w:val="003857BC"/>
    <w:rPr>
      <w:rFonts w:cs="Myriad Pro Light"/>
      <w:b/>
      <w:bCs/>
      <w:color w:val="211D1E"/>
      <w:sz w:val="17"/>
      <w:szCs w:val="17"/>
    </w:rPr>
  </w:style>
  <w:style w:type="paragraph" w:customStyle="1" w:styleId="Pa9">
    <w:name w:val="Pa9"/>
    <w:basedOn w:val="Normal"/>
    <w:next w:val="Normal"/>
    <w:uiPriority w:val="99"/>
    <w:rsid w:val="003857BC"/>
    <w:pPr>
      <w:autoSpaceDE w:val="0"/>
      <w:autoSpaceDN w:val="0"/>
      <w:adjustRightInd w:val="0"/>
      <w:spacing w:after="0" w:line="221" w:lineRule="atLeast"/>
    </w:pPr>
    <w:rPr>
      <w:rFonts w:ascii="Myriad Pro Light" w:hAnsi="Myriad Pro Light"/>
      <w:sz w:val="24"/>
      <w:szCs w:val="24"/>
    </w:rPr>
  </w:style>
  <w:style w:type="character" w:customStyle="1" w:styleId="A2">
    <w:name w:val="A2"/>
    <w:uiPriority w:val="99"/>
    <w:rsid w:val="003857BC"/>
    <w:rPr>
      <w:rFonts w:ascii="Myriad Pro" w:hAnsi="Myriad Pro" w:cs="Myriad Pro"/>
      <w:color w:val="211D1E"/>
      <w:sz w:val="12"/>
      <w:szCs w:val="12"/>
    </w:rPr>
  </w:style>
  <w:style w:type="character" w:customStyle="1" w:styleId="A25">
    <w:name w:val="A25"/>
    <w:uiPriority w:val="99"/>
    <w:rsid w:val="003857BC"/>
    <w:rPr>
      <w:rFonts w:ascii="Myriad Pro" w:hAnsi="Myriad Pro" w:cs="Myriad Pro"/>
      <w:color w:val="211D1E"/>
      <w:sz w:val="12"/>
      <w:szCs w:val="12"/>
    </w:rPr>
  </w:style>
  <w:style w:type="paragraph" w:styleId="BalloonText">
    <w:name w:val="Balloon Text"/>
    <w:basedOn w:val="Normal"/>
    <w:link w:val="BalloonTextChar"/>
    <w:uiPriority w:val="99"/>
    <w:semiHidden/>
    <w:unhideWhenUsed/>
    <w:rsid w:val="003857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BC"/>
    <w:rPr>
      <w:rFonts w:ascii="Tahoma" w:hAnsi="Tahoma" w:cs="Tahoma"/>
      <w:sz w:val="16"/>
      <w:szCs w:val="16"/>
    </w:rPr>
  </w:style>
  <w:style w:type="paragraph" w:styleId="Header">
    <w:name w:val="header"/>
    <w:basedOn w:val="Normal"/>
    <w:link w:val="HeaderChar"/>
    <w:uiPriority w:val="99"/>
    <w:semiHidden/>
    <w:unhideWhenUsed/>
    <w:rsid w:val="003857B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857BC"/>
  </w:style>
  <w:style w:type="paragraph" w:styleId="Footer">
    <w:name w:val="footer"/>
    <w:basedOn w:val="Normal"/>
    <w:link w:val="FooterChar"/>
    <w:uiPriority w:val="99"/>
    <w:unhideWhenUsed/>
    <w:rsid w:val="003857BC"/>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57BC"/>
  </w:style>
  <w:style w:type="character" w:customStyle="1" w:styleId="A53">
    <w:name w:val="A53"/>
    <w:uiPriority w:val="99"/>
    <w:rsid w:val="00917689"/>
    <w:rPr>
      <w:rFonts w:cs="Myriad Pro"/>
      <w:color w:val="211D1E"/>
      <w:sz w:val="18"/>
      <w:szCs w:val="18"/>
    </w:rPr>
  </w:style>
  <w:style w:type="character" w:customStyle="1" w:styleId="A54">
    <w:name w:val="A54"/>
    <w:uiPriority w:val="99"/>
    <w:rsid w:val="00917689"/>
    <w:rPr>
      <w:rFonts w:cs="Myriad Pro"/>
      <w:color w:val="211D1E"/>
      <w:sz w:val="10"/>
      <w:szCs w:val="10"/>
    </w:rPr>
  </w:style>
  <w:style w:type="character" w:customStyle="1" w:styleId="A0">
    <w:name w:val="A0"/>
    <w:uiPriority w:val="99"/>
    <w:rsid w:val="00917689"/>
    <w:rPr>
      <w:rFonts w:cs="Myriad Pro"/>
      <w:color w:val="211D1E"/>
      <w:sz w:val="48"/>
      <w:szCs w:val="48"/>
    </w:rPr>
  </w:style>
  <w:style w:type="character" w:customStyle="1" w:styleId="A57">
    <w:name w:val="A57"/>
    <w:uiPriority w:val="99"/>
    <w:rsid w:val="00917689"/>
    <w:rPr>
      <w:rFonts w:cs="Myriad Pro"/>
      <w:color w:val="211D1E"/>
      <w:sz w:val="16"/>
      <w:szCs w:val="16"/>
    </w:rPr>
  </w:style>
  <w:style w:type="character" w:customStyle="1" w:styleId="A58">
    <w:name w:val="A58"/>
    <w:uiPriority w:val="99"/>
    <w:rsid w:val="00917689"/>
    <w:rPr>
      <w:rFonts w:cs="Myriad Pro"/>
      <w:color w:val="211D1E"/>
      <w:sz w:val="15"/>
      <w:szCs w:val="15"/>
    </w:rPr>
  </w:style>
  <w:style w:type="character" w:customStyle="1" w:styleId="A59">
    <w:name w:val="A59"/>
    <w:uiPriority w:val="99"/>
    <w:rsid w:val="00917689"/>
    <w:rPr>
      <w:rFonts w:cs="Myriad Pro"/>
      <w:color w:val="211D1E"/>
      <w:sz w:val="11"/>
      <w:szCs w:val="11"/>
    </w:rPr>
  </w:style>
  <w:style w:type="character" w:customStyle="1" w:styleId="A60">
    <w:name w:val="A60"/>
    <w:uiPriority w:val="99"/>
    <w:rsid w:val="00917689"/>
    <w:rPr>
      <w:rFonts w:cs="Myriad Pro"/>
      <w:color w:val="211D1E"/>
      <w:sz w:val="18"/>
      <w:szCs w:val="18"/>
    </w:rPr>
  </w:style>
  <w:style w:type="paragraph" w:customStyle="1" w:styleId="Pa5">
    <w:name w:val="Pa5"/>
    <w:basedOn w:val="Normal"/>
    <w:next w:val="Normal"/>
    <w:uiPriority w:val="99"/>
    <w:rsid w:val="002530C9"/>
    <w:pPr>
      <w:autoSpaceDE w:val="0"/>
      <w:autoSpaceDN w:val="0"/>
      <w:adjustRightInd w:val="0"/>
      <w:spacing w:after="0" w:line="221" w:lineRule="atLeast"/>
    </w:pPr>
    <w:rPr>
      <w:rFonts w:ascii="Myriad Pro" w:hAnsi="Myriad Pro"/>
      <w:sz w:val="24"/>
      <w:szCs w:val="24"/>
    </w:rPr>
  </w:style>
  <w:style w:type="paragraph" w:customStyle="1" w:styleId="Pa16">
    <w:name w:val="Pa16"/>
    <w:basedOn w:val="Normal"/>
    <w:next w:val="Normal"/>
    <w:uiPriority w:val="99"/>
    <w:rsid w:val="002530C9"/>
    <w:pPr>
      <w:autoSpaceDE w:val="0"/>
      <w:autoSpaceDN w:val="0"/>
      <w:adjustRightInd w:val="0"/>
      <w:spacing w:after="0" w:line="221" w:lineRule="atLeast"/>
    </w:pPr>
    <w:rPr>
      <w:rFonts w:ascii="Myriad Pro" w:hAnsi="Myriad Pro"/>
      <w:sz w:val="24"/>
      <w:szCs w:val="24"/>
    </w:rPr>
  </w:style>
  <w:style w:type="character" w:customStyle="1" w:styleId="A3">
    <w:name w:val="A3"/>
    <w:uiPriority w:val="99"/>
    <w:rsid w:val="002530C9"/>
    <w:rPr>
      <w:rFonts w:cs="Myriad Pro"/>
      <w:b/>
      <w:bCs/>
      <w:color w:val="72A977"/>
      <w:sz w:val="36"/>
      <w:szCs w:val="36"/>
    </w:rPr>
  </w:style>
  <w:style w:type="character" w:customStyle="1" w:styleId="A15">
    <w:name w:val="A15"/>
    <w:uiPriority w:val="99"/>
    <w:rsid w:val="002530C9"/>
    <w:rPr>
      <w:rFonts w:cs="Myriad Pro"/>
      <w:b/>
      <w:bCs/>
      <w:color w:val="72A977"/>
      <w:sz w:val="21"/>
      <w:szCs w:val="21"/>
    </w:rPr>
  </w:style>
</w:styles>
</file>

<file path=word/webSettings.xml><?xml version="1.0" encoding="utf-8"?>
<w:webSettings xmlns:r="http://schemas.openxmlformats.org/officeDocument/2006/relationships" xmlns:w="http://schemas.openxmlformats.org/wordprocessingml/2006/main">
  <w:divs>
    <w:div w:id="2006011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0C8375-BB4C-460D-8F7C-B63827AEA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12</Pages>
  <Words>3172</Words>
  <Characters>18081</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lwatney</dc:creator>
  <cp:lastModifiedBy>lwatney</cp:lastModifiedBy>
  <cp:revision>5</cp:revision>
  <dcterms:created xsi:type="dcterms:W3CDTF">2012-03-26T13:28:00Z</dcterms:created>
  <dcterms:modified xsi:type="dcterms:W3CDTF">2012-03-27T18:38:00Z</dcterms:modified>
</cp:coreProperties>
</file>